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69" w:rsidRPr="00A46F69" w:rsidRDefault="00A46F69" w:rsidP="00A46F69">
      <w:pPr>
        <w:pStyle w:val="Default"/>
        <w:spacing w:line="500" w:lineRule="exact"/>
        <w:rPr>
          <w:rFonts w:hAnsi="標楷體" w:hint="eastAsia"/>
          <w:b/>
          <w:sz w:val="36"/>
          <w:szCs w:val="36"/>
        </w:rPr>
      </w:pPr>
      <w:r w:rsidRPr="00A46F69">
        <w:rPr>
          <w:rFonts w:hAnsi="標楷體"/>
        </w:rPr>
        <w:t xml:space="preserve"> </w:t>
      </w:r>
      <w:r w:rsidRPr="00A46F69">
        <w:rPr>
          <w:rFonts w:hAnsi="標楷體" w:hint="eastAsia"/>
          <w:b/>
          <w:sz w:val="36"/>
          <w:szCs w:val="36"/>
        </w:rPr>
        <w:t>高雄市</w:t>
      </w:r>
      <w:r w:rsidRPr="00A46F69">
        <w:rPr>
          <w:rFonts w:hAnsi="標楷體" w:hint="eastAsia"/>
          <w:b/>
          <w:sz w:val="36"/>
          <w:szCs w:val="36"/>
        </w:rPr>
        <w:t>立中醫醫院</w:t>
      </w:r>
      <w:r w:rsidRPr="00A46F69">
        <w:rPr>
          <w:rFonts w:hAnsi="標楷體" w:hint="eastAsia"/>
          <w:b/>
          <w:sz w:val="36"/>
          <w:szCs w:val="36"/>
        </w:rPr>
        <w:t>員工職</w:t>
      </w:r>
      <w:proofErr w:type="gramStart"/>
      <w:r w:rsidRPr="00A46F69">
        <w:rPr>
          <w:rFonts w:hAnsi="標楷體" w:hint="eastAsia"/>
          <w:b/>
          <w:sz w:val="36"/>
          <w:szCs w:val="36"/>
        </w:rPr>
        <w:t>場霸凌</w:t>
      </w:r>
      <w:proofErr w:type="gramEnd"/>
      <w:r w:rsidRPr="00A46F69">
        <w:rPr>
          <w:rFonts w:hAnsi="標楷體" w:hint="eastAsia"/>
          <w:b/>
          <w:sz w:val="36"/>
          <w:szCs w:val="36"/>
        </w:rPr>
        <w:t>防治</w:t>
      </w:r>
      <w:r>
        <w:rPr>
          <w:rFonts w:hAnsi="標楷體" w:hint="eastAsia"/>
          <w:b/>
          <w:sz w:val="36"/>
          <w:szCs w:val="36"/>
        </w:rPr>
        <w:t>、申訴</w:t>
      </w:r>
      <w:r w:rsidRPr="00A46F69">
        <w:rPr>
          <w:rFonts w:hAnsi="標楷體" w:hint="eastAsia"/>
          <w:b/>
          <w:sz w:val="36"/>
          <w:szCs w:val="36"/>
        </w:rPr>
        <w:t>與處理</w:t>
      </w:r>
      <w:r>
        <w:rPr>
          <w:rFonts w:hAnsi="標楷體" w:hint="eastAsia"/>
          <w:b/>
          <w:sz w:val="36"/>
          <w:szCs w:val="36"/>
        </w:rPr>
        <w:t>要點</w:t>
      </w:r>
    </w:p>
    <w:p w:rsidR="00A46F69" w:rsidRDefault="00A46F69" w:rsidP="00A46F69">
      <w:pPr>
        <w:pStyle w:val="Default"/>
        <w:spacing w:line="500" w:lineRule="exact"/>
        <w:jc w:val="center"/>
        <w:rPr>
          <w:rFonts w:hAnsi="標楷體" w:hint="eastAsia"/>
          <w:sz w:val="32"/>
          <w:szCs w:val="32"/>
        </w:rPr>
      </w:pPr>
    </w:p>
    <w:p w:rsidR="00A46F69" w:rsidRPr="00A46F69" w:rsidRDefault="00A46F69" w:rsidP="00A46F69">
      <w:pPr>
        <w:pStyle w:val="Default"/>
        <w:spacing w:line="500" w:lineRule="exact"/>
        <w:jc w:val="center"/>
        <w:rPr>
          <w:rFonts w:hAnsi="標楷體"/>
          <w:sz w:val="32"/>
          <w:szCs w:val="32"/>
        </w:rPr>
      </w:pPr>
      <w:r w:rsidRPr="00A46F69">
        <w:rPr>
          <w:rFonts w:hAnsi="標楷體" w:hint="eastAsia"/>
          <w:sz w:val="32"/>
          <w:szCs w:val="32"/>
        </w:rPr>
        <w:t>總說明</w:t>
      </w:r>
    </w:p>
    <w:p w:rsidR="00A46F69" w:rsidRPr="00A46F69" w:rsidRDefault="00A46F69" w:rsidP="00A46F69">
      <w:pPr>
        <w:pStyle w:val="Default"/>
        <w:spacing w:line="440" w:lineRule="exact"/>
        <w:ind w:left="560" w:hangingChars="200" w:hanging="560"/>
        <w:rPr>
          <w:rFonts w:hAnsi="標楷體"/>
          <w:sz w:val="28"/>
          <w:szCs w:val="28"/>
        </w:rPr>
      </w:pPr>
      <w:r w:rsidRPr="00A46F69">
        <w:rPr>
          <w:rFonts w:hAnsi="標楷體" w:hint="eastAsia"/>
          <w:sz w:val="28"/>
          <w:szCs w:val="28"/>
        </w:rPr>
        <w:t>一、</w:t>
      </w:r>
      <w:r w:rsidRPr="00A46F69">
        <w:rPr>
          <w:rFonts w:hAnsi="標楷體"/>
          <w:sz w:val="28"/>
          <w:szCs w:val="28"/>
        </w:rPr>
        <w:t xml:space="preserve"> </w:t>
      </w:r>
      <w:r w:rsidRPr="00A46F69">
        <w:rPr>
          <w:rFonts w:hAnsi="標楷體" w:hint="eastAsia"/>
          <w:sz w:val="28"/>
          <w:szCs w:val="28"/>
        </w:rPr>
        <w:t>訂定理由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ind w:left="560" w:hangingChars="200" w:hanging="560"/>
        <w:rPr>
          <w:rFonts w:hAnsi="標楷體"/>
          <w:sz w:val="28"/>
          <w:szCs w:val="28"/>
        </w:rPr>
      </w:pPr>
      <w:r w:rsidRPr="00A46F69">
        <w:rPr>
          <w:rFonts w:hAnsi="標楷體" w:hint="eastAsia"/>
          <w:sz w:val="28"/>
          <w:szCs w:val="28"/>
        </w:rPr>
        <w:t xml:space="preserve">    </w:t>
      </w:r>
      <w:r w:rsidRPr="00A46F69">
        <w:rPr>
          <w:rFonts w:hAnsi="標楷體" w:hint="eastAsia"/>
          <w:sz w:val="28"/>
          <w:szCs w:val="28"/>
        </w:rPr>
        <w:t>為建構健康友善職場，保障員工免</w:t>
      </w:r>
      <w:proofErr w:type="gramStart"/>
      <w:r w:rsidRPr="00A46F69">
        <w:rPr>
          <w:rFonts w:hAnsi="標楷體" w:hint="eastAsia"/>
          <w:sz w:val="28"/>
          <w:szCs w:val="28"/>
        </w:rPr>
        <w:t>受霸凌</w:t>
      </w:r>
      <w:proofErr w:type="gramEnd"/>
      <w:r w:rsidRPr="00A46F69">
        <w:rPr>
          <w:rFonts w:hAnsi="標楷體" w:hint="eastAsia"/>
          <w:sz w:val="28"/>
          <w:szCs w:val="28"/>
        </w:rPr>
        <w:t>侵犯，安心投入職場工作，</w:t>
      </w:r>
      <w:proofErr w:type="gramStart"/>
      <w:r w:rsidRPr="00A46F69">
        <w:rPr>
          <w:rFonts w:hAnsi="標楷體" w:hint="eastAsia"/>
          <w:sz w:val="28"/>
          <w:szCs w:val="28"/>
        </w:rPr>
        <w:t>爰</w:t>
      </w:r>
      <w:proofErr w:type="gramEnd"/>
      <w:r w:rsidRPr="00A46F69">
        <w:rPr>
          <w:rFonts w:hAnsi="標楷體" w:hint="eastAsia"/>
          <w:sz w:val="28"/>
          <w:szCs w:val="28"/>
        </w:rPr>
        <w:t>依公務人員保障法、公務人員安全及衛生防護辦法等規定，並參照行政院人事行政總處一百零八年四月二十九日總</w:t>
      </w:r>
      <w:proofErr w:type="gramStart"/>
      <w:r w:rsidRPr="00A46F69">
        <w:rPr>
          <w:rFonts w:hAnsi="標楷體" w:hint="eastAsia"/>
          <w:sz w:val="28"/>
          <w:szCs w:val="28"/>
        </w:rPr>
        <w:t>處綜字</w:t>
      </w:r>
      <w:proofErr w:type="gramEnd"/>
      <w:r w:rsidRPr="00A46F69">
        <w:rPr>
          <w:rFonts w:hAnsi="標楷體" w:hint="eastAsia"/>
          <w:sz w:val="28"/>
          <w:szCs w:val="28"/>
        </w:rPr>
        <w:t>第一○八○○三三四六七號</w:t>
      </w:r>
      <w:proofErr w:type="gramStart"/>
      <w:r w:rsidRPr="00A46F69">
        <w:rPr>
          <w:rFonts w:hAnsi="標楷體" w:hint="eastAsia"/>
          <w:sz w:val="28"/>
          <w:szCs w:val="28"/>
        </w:rPr>
        <w:t>函頒「</w:t>
      </w:r>
      <w:proofErr w:type="gramEnd"/>
      <w:r w:rsidRPr="00A46F69">
        <w:rPr>
          <w:rFonts w:hAnsi="標楷體" w:hint="eastAsia"/>
          <w:sz w:val="28"/>
          <w:szCs w:val="28"/>
        </w:rPr>
        <w:t>員工職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防治與處理建議作為」</w:t>
      </w:r>
      <w:r w:rsidRPr="00A46F69">
        <w:rPr>
          <w:rFonts w:hAnsi="標楷體" w:hint="eastAsia"/>
          <w:sz w:val="28"/>
          <w:szCs w:val="28"/>
        </w:rPr>
        <w:t>、</w:t>
      </w:r>
      <w:r w:rsidRPr="00A46F69">
        <w:rPr>
          <w:rFonts w:hAnsi="標楷體" w:hint="eastAsia"/>
          <w:sz w:val="28"/>
          <w:szCs w:val="28"/>
        </w:rPr>
        <w:t>「員工職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處理標準作業流程</w:t>
      </w: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範例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」</w:t>
      </w:r>
      <w:r w:rsidRPr="00A46F69">
        <w:rPr>
          <w:rFonts w:hAnsi="標楷體" w:hint="eastAsia"/>
          <w:sz w:val="28"/>
          <w:szCs w:val="28"/>
        </w:rPr>
        <w:t>及</w:t>
      </w:r>
      <w:r w:rsidRPr="00A46F69">
        <w:rPr>
          <w:rFonts w:hAnsi="標楷體" w:hint="eastAsia"/>
          <w:sz w:val="28"/>
          <w:szCs w:val="28"/>
        </w:rPr>
        <w:t>「</w:t>
      </w:r>
      <w:r w:rsidRPr="00A46F69">
        <w:rPr>
          <w:rFonts w:hAnsi="標楷體" w:hint="eastAsia"/>
          <w:sz w:val="28"/>
          <w:szCs w:val="28"/>
        </w:rPr>
        <w:t>高雄市政府</w:t>
      </w:r>
      <w:r w:rsidRPr="00A46F69">
        <w:rPr>
          <w:rFonts w:hAnsi="標楷體" w:hint="eastAsia"/>
          <w:sz w:val="28"/>
          <w:szCs w:val="28"/>
        </w:rPr>
        <w:t>員工職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處理</w:t>
      </w:r>
      <w:r w:rsidRPr="00A46F69">
        <w:rPr>
          <w:rFonts w:hAnsi="標楷體" w:hint="eastAsia"/>
          <w:sz w:val="28"/>
          <w:szCs w:val="28"/>
        </w:rPr>
        <w:t>防治與處理原則</w:t>
      </w:r>
      <w:r w:rsidRPr="00A46F69">
        <w:rPr>
          <w:rFonts w:hAnsi="標楷體" w:hint="eastAsia"/>
          <w:sz w:val="28"/>
          <w:szCs w:val="28"/>
        </w:rPr>
        <w:t>」訂定本</w:t>
      </w:r>
      <w:r w:rsidRPr="00A46F69">
        <w:rPr>
          <w:rFonts w:hAnsi="標楷體" w:hint="eastAsia"/>
          <w:sz w:val="28"/>
          <w:szCs w:val="28"/>
        </w:rPr>
        <w:t>要點</w:t>
      </w:r>
      <w:r w:rsidRPr="00A46F69">
        <w:rPr>
          <w:rFonts w:hAnsi="標楷體" w:hint="eastAsia"/>
          <w:sz w:val="28"/>
          <w:szCs w:val="28"/>
        </w:rPr>
        <w:t>。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 w:hint="eastAsia"/>
          <w:sz w:val="28"/>
          <w:szCs w:val="28"/>
        </w:rPr>
      </w:pPr>
    </w:p>
    <w:p w:rsidR="00A46F69" w:rsidRPr="00A46F69" w:rsidRDefault="00A46F69" w:rsidP="00A46F6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6F69">
        <w:rPr>
          <w:rFonts w:hAnsi="標楷體" w:hint="eastAsia"/>
          <w:sz w:val="28"/>
          <w:szCs w:val="28"/>
        </w:rPr>
        <w:t>二、</w:t>
      </w:r>
      <w:r w:rsidRPr="00A46F69">
        <w:rPr>
          <w:rFonts w:hAnsi="標楷體"/>
          <w:sz w:val="28"/>
          <w:szCs w:val="28"/>
        </w:rPr>
        <w:t xml:space="preserve"> </w:t>
      </w:r>
      <w:r w:rsidRPr="00A46F69">
        <w:rPr>
          <w:rFonts w:hAnsi="標楷體" w:hint="eastAsia"/>
          <w:sz w:val="28"/>
          <w:szCs w:val="28"/>
        </w:rPr>
        <w:t>訂定重點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proofErr w:type="gramStart"/>
      <w:r w:rsidRPr="00A46F69">
        <w:rPr>
          <w:rFonts w:hAnsi="標楷體" w:hint="eastAsia"/>
          <w:sz w:val="28"/>
          <w:szCs w:val="28"/>
        </w:rPr>
        <w:t>一</w:t>
      </w:r>
      <w:proofErr w:type="gramEnd"/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訂定目的。（第一點）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二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用詞定義。（第二點）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ind w:left="560" w:hangingChars="200" w:hanging="560"/>
        <w:rPr>
          <w:rFonts w:hAnsi="標楷體" w:hint="eastAsia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三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設置專責人員或單位處理職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事件，並提供多元申訴管道。</w:t>
      </w:r>
      <w:r w:rsidRPr="00A46F69">
        <w:rPr>
          <w:rFonts w:hAnsi="標楷體" w:hint="eastAsia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第</w:t>
      </w:r>
      <w:r w:rsidRPr="00A46F69">
        <w:rPr>
          <w:rFonts w:hAnsi="標楷體" w:hint="eastAsia"/>
          <w:sz w:val="28"/>
          <w:szCs w:val="28"/>
        </w:rPr>
        <w:t>三</w:t>
      </w:r>
      <w:r w:rsidRPr="00A46F69">
        <w:rPr>
          <w:rFonts w:hAnsi="標楷體" w:hint="eastAsia"/>
          <w:sz w:val="28"/>
          <w:szCs w:val="28"/>
        </w:rPr>
        <w:t>點</w:t>
      </w:r>
      <w:proofErr w:type="gramStart"/>
      <w:r w:rsidRPr="00A46F69">
        <w:rPr>
          <w:rFonts w:hAnsi="標楷體" w:hint="eastAsia"/>
          <w:sz w:val="28"/>
          <w:szCs w:val="28"/>
        </w:rPr>
        <w:t>）</w:t>
      </w:r>
      <w:proofErr w:type="gramEnd"/>
    </w:p>
    <w:p w:rsidR="00A46F69" w:rsidRPr="00A46F69" w:rsidRDefault="00A46F69" w:rsidP="00A46F69">
      <w:pPr>
        <w:pStyle w:val="Default"/>
        <w:spacing w:line="440" w:lineRule="exact"/>
        <w:ind w:left="560" w:hangingChars="200" w:hanging="560"/>
        <w:rPr>
          <w:rFonts w:hAnsi="標楷體" w:hint="eastAsia"/>
          <w:sz w:val="28"/>
          <w:szCs w:val="28"/>
        </w:rPr>
      </w:pPr>
      <w:r w:rsidRPr="00A46F69">
        <w:rPr>
          <w:rFonts w:hAnsi="標楷體" w:hint="eastAsia"/>
          <w:sz w:val="28"/>
          <w:szCs w:val="28"/>
        </w:rPr>
        <w:t>(四)</w:t>
      </w:r>
      <w:r w:rsidRPr="00A46F69">
        <w:rPr>
          <w:rFonts w:hAnsi="標楷體" w:hint="eastAsia"/>
          <w:sz w:val="28"/>
          <w:szCs w:val="28"/>
        </w:rPr>
        <w:t>應加強宣導職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防治及處理，並運用員工協助方案積極預防職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事件之發生。（第</w:t>
      </w:r>
      <w:r w:rsidRPr="00A46F69">
        <w:rPr>
          <w:rFonts w:hAnsi="標楷體" w:hint="eastAsia"/>
          <w:sz w:val="28"/>
          <w:szCs w:val="28"/>
        </w:rPr>
        <w:t>四</w:t>
      </w:r>
      <w:r w:rsidRPr="00A46F69">
        <w:rPr>
          <w:rFonts w:hAnsi="標楷體" w:hint="eastAsia"/>
          <w:sz w:val="28"/>
          <w:szCs w:val="28"/>
        </w:rPr>
        <w:t>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ind w:left="560" w:hangingChars="200" w:hanging="560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五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員工提出職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申訴之方式。（第五點）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六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組成職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申訴調查小組。（第六點）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七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調查結果之函復。（第七點）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 w:hint="eastAsia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八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申訴人得自行撤回申訴及其效果。（第八點）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6F69">
        <w:rPr>
          <w:rFonts w:hAnsi="標楷體" w:hint="eastAsia"/>
          <w:sz w:val="28"/>
          <w:szCs w:val="28"/>
        </w:rPr>
        <w:t>(九)申訴事件不予受理情形。</w:t>
      </w:r>
      <w:r w:rsidRPr="00A46F69">
        <w:rPr>
          <w:rFonts w:hAnsi="標楷體" w:hint="eastAsia"/>
          <w:sz w:val="28"/>
          <w:szCs w:val="28"/>
        </w:rPr>
        <w:t>（第</w:t>
      </w:r>
      <w:r w:rsidRPr="00A46F69">
        <w:rPr>
          <w:rFonts w:hAnsi="標楷體" w:hint="eastAsia"/>
          <w:sz w:val="28"/>
          <w:szCs w:val="28"/>
        </w:rPr>
        <w:t>九</w:t>
      </w:r>
      <w:r w:rsidRPr="00A46F69">
        <w:rPr>
          <w:rFonts w:hAnsi="標楷體" w:hint="eastAsia"/>
          <w:sz w:val="28"/>
          <w:szCs w:val="28"/>
        </w:rPr>
        <w:t>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十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申訴調查小組成員迴避規定。（第</w:t>
      </w:r>
      <w:r w:rsidRPr="00A46F69">
        <w:rPr>
          <w:rFonts w:hAnsi="標楷體" w:hint="eastAsia"/>
          <w:sz w:val="28"/>
          <w:szCs w:val="28"/>
        </w:rPr>
        <w:t>十</w:t>
      </w:r>
      <w:r w:rsidRPr="00A46F69">
        <w:rPr>
          <w:rFonts w:hAnsi="標楷體" w:hint="eastAsia"/>
          <w:sz w:val="28"/>
          <w:szCs w:val="28"/>
        </w:rPr>
        <w:t>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十</w:t>
      </w:r>
      <w:r w:rsidRPr="00A46F69">
        <w:rPr>
          <w:rFonts w:hAnsi="標楷體" w:hint="eastAsia"/>
          <w:sz w:val="28"/>
          <w:szCs w:val="28"/>
        </w:rPr>
        <w:t>一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申訴調查小組成員及相關人員保密規定。（第十</w:t>
      </w:r>
      <w:r w:rsidRPr="00A46F69">
        <w:rPr>
          <w:rFonts w:hAnsi="標楷體" w:hint="eastAsia"/>
          <w:sz w:val="28"/>
          <w:szCs w:val="28"/>
        </w:rPr>
        <w:t>一</w:t>
      </w:r>
      <w:r w:rsidRPr="00A46F69">
        <w:rPr>
          <w:rFonts w:hAnsi="標楷體" w:hint="eastAsia"/>
          <w:sz w:val="28"/>
          <w:szCs w:val="28"/>
        </w:rPr>
        <w:t>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ind w:left="840" w:hangingChars="300" w:hanging="840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十</w:t>
      </w:r>
      <w:r w:rsidRPr="00A46F69">
        <w:rPr>
          <w:rFonts w:hAnsi="標楷體" w:hint="eastAsia"/>
          <w:sz w:val="28"/>
          <w:szCs w:val="28"/>
        </w:rPr>
        <w:t>二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機關</w:t>
      </w:r>
      <w:r w:rsidRPr="00A46F69">
        <w:rPr>
          <w:rFonts w:hAnsi="標楷體" w:hint="eastAsia"/>
          <w:sz w:val="28"/>
          <w:szCs w:val="28"/>
        </w:rPr>
        <w:t>不得對員工提出職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申訴及相關人為不當差別待遇或予以不利之處分。（第十</w:t>
      </w:r>
      <w:r w:rsidRPr="00A46F69">
        <w:rPr>
          <w:rFonts w:hAnsi="標楷體" w:hint="eastAsia"/>
          <w:sz w:val="28"/>
          <w:szCs w:val="28"/>
        </w:rPr>
        <w:t>二</w:t>
      </w:r>
      <w:r w:rsidRPr="00A46F69">
        <w:rPr>
          <w:rFonts w:hAnsi="標楷體" w:hint="eastAsia"/>
          <w:sz w:val="28"/>
          <w:szCs w:val="28"/>
        </w:rPr>
        <w:t>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46F69" w:rsidRPr="00A46F69" w:rsidRDefault="00A46F69" w:rsidP="00A46F69">
      <w:pPr>
        <w:pStyle w:val="Default"/>
        <w:spacing w:line="440" w:lineRule="exact"/>
        <w:ind w:left="840" w:hangingChars="300" w:hanging="840"/>
        <w:rPr>
          <w:rFonts w:hAnsi="標楷體"/>
          <w:sz w:val="28"/>
          <w:szCs w:val="28"/>
        </w:rPr>
      </w:pPr>
      <w:r w:rsidRPr="00A46F69">
        <w:rPr>
          <w:rFonts w:hAnsi="標楷體"/>
          <w:sz w:val="28"/>
          <w:szCs w:val="28"/>
        </w:rPr>
        <w:t>(</w:t>
      </w:r>
      <w:r w:rsidRPr="00A46F69">
        <w:rPr>
          <w:rFonts w:hAnsi="標楷體" w:hint="eastAsia"/>
          <w:sz w:val="28"/>
          <w:szCs w:val="28"/>
        </w:rPr>
        <w:t>十</w:t>
      </w:r>
      <w:r w:rsidRPr="00A46F69">
        <w:rPr>
          <w:rFonts w:hAnsi="標楷體" w:hint="eastAsia"/>
          <w:sz w:val="28"/>
          <w:szCs w:val="28"/>
        </w:rPr>
        <w:t>三</w:t>
      </w:r>
      <w:r w:rsidRPr="00A46F69">
        <w:rPr>
          <w:rFonts w:hAnsi="標楷體"/>
          <w:sz w:val="28"/>
          <w:szCs w:val="28"/>
        </w:rPr>
        <w:t>)</w:t>
      </w:r>
      <w:r w:rsidRPr="00A46F69">
        <w:rPr>
          <w:rFonts w:hAnsi="標楷體" w:hint="eastAsia"/>
          <w:sz w:val="28"/>
          <w:szCs w:val="28"/>
        </w:rPr>
        <w:t>職</w:t>
      </w:r>
      <w:proofErr w:type="gramStart"/>
      <w:r w:rsidRPr="00A46F69">
        <w:rPr>
          <w:rFonts w:hAnsi="標楷體" w:hint="eastAsia"/>
          <w:sz w:val="28"/>
          <w:szCs w:val="28"/>
        </w:rPr>
        <w:t>場霸凌</w:t>
      </w:r>
      <w:proofErr w:type="gramEnd"/>
      <w:r w:rsidRPr="00A46F69">
        <w:rPr>
          <w:rFonts w:hAnsi="標楷體" w:hint="eastAsia"/>
          <w:sz w:val="28"/>
          <w:szCs w:val="28"/>
        </w:rPr>
        <w:t>事件之檢討與</w:t>
      </w:r>
      <w:proofErr w:type="gramStart"/>
      <w:r w:rsidRPr="00A46F69">
        <w:rPr>
          <w:rFonts w:hAnsi="標楷體" w:hint="eastAsia"/>
          <w:sz w:val="28"/>
          <w:szCs w:val="28"/>
        </w:rPr>
        <w:t>研</w:t>
      </w:r>
      <w:proofErr w:type="gramEnd"/>
      <w:r w:rsidRPr="00A46F69">
        <w:rPr>
          <w:rFonts w:hAnsi="標楷體" w:hint="eastAsia"/>
          <w:sz w:val="28"/>
          <w:szCs w:val="28"/>
        </w:rPr>
        <w:t>提改善作為</w:t>
      </w:r>
      <w:r w:rsidRPr="00A46F69">
        <w:rPr>
          <w:rFonts w:hAnsi="標楷體" w:hint="eastAsia"/>
          <w:sz w:val="28"/>
          <w:szCs w:val="28"/>
        </w:rPr>
        <w:t>及提供</w:t>
      </w:r>
      <w:r w:rsidRPr="00A46F69">
        <w:rPr>
          <w:rFonts w:hAnsi="標楷體" w:hint="eastAsia"/>
          <w:sz w:val="28"/>
          <w:szCs w:val="28"/>
        </w:rPr>
        <w:t>當事人相關協助及予以關懷。（第十三點）</w:t>
      </w:r>
      <w:r w:rsidRPr="00A46F69">
        <w:rPr>
          <w:rFonts w:hAnsi="標楷體"/>
          <w:sz w:val="28"/>
          <w:szCs w:val="28"/>
        </w:rPr>
        <w:t xml:space="preserve"> </w:t>
      </w:r>
    </w:p>
    <w:p w:rsidR="00AA7E02" w:rsidRPr="00A46F69" w:rsidRDefault="00A46F69" w:rsidP="00A46F6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46F69">
        <w:rPr>
          <w:rFonts w:ascii="標楷體" w:eastAsia="標楷體" w:hAnsi="標楷體"/>
          <w:sz w:val="28"/>
          <w:szCs w:val="28"/>
        </w:rPr>
        <w:t>(</w:t>
      </w:r>
      <w:r w:rsidRPr="00A46F69">
        <w:rPr>
          <w:rFonts w:ascii="標楷體" w:eastAsia="標楷體" w:hAnsi="標楷體" w:hint="eastAsia"/>
          <w:sz w:val="28"/>
          <w:szCs w:val="28"/>
        </w:rPr>
        <w:t>十四</w:t>
      </w:r>
      <w:r w:rsidRPr="00A46F69">
        <w:rPr>
          <w:rFonts w:ascii="標楷體" w:eastAsia="標楷體" w:hAnsi="標楷體"/>
          <w:sz w:val="28"/>
          <w:szCs w:val="28"/>
        </w:rPr>
        <w:t>)</w:t>
      </w:r>
      <w:r w:rsidRPr="00A46F69">
        <w:rPr>
          <w:rFonts w:ascii="標楷體" w:eastAsia="標楷體" w:hAnsi="標楷體" w:hint="eastAsia"/>
          <w:sz w:val="28"/>
          <w:szCs w:val="28"/>
        </w:rPr>
        <w:t>明訂應提院</w:t>
      </w:r>
      <w:proofErr w:type="gramStart"/>
      <w:r w:rsidRPr="00A46F6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46F69">
        <w:rPr>
          <w:rFonts w:ascii="標楷體" w:eastAsia="標楷體" w:hAnsi="標楷體" w:hint="eastAsia"/>
          <w:sz w:val="28"/>
          <w:szCs w:val="28"/>
        </w:rPr>
        <w:t>會議審議通過後施行</w:t>
      </w:r>
      <w:r w:rsidRPr="00A46F69">
        <w:rPr>
          <w:rFonts w:ascii="標楷體" w:eastAsia="標楷體" w:hAnsi="標楷體" w:hint="eastAsia"/>
          <w:sz w:val="28"/>
          <w:szCs w:val="28"/>
        </w:rPr>
        <w:t>。（第</w:t>
      </w:r>
      <w:bookmarkStart w:id="0" w:name="_GoBack"/>
      <w:bookmarkEnd w:id="0"/>
      <w:r w:rsidRPr="00A46F69">
        <w:rPr>
          <w:rFonts w:ascii="標楷體" w:eastAsia="標楷體" w:hAnsi="標楷體" w:hint="eastAsia"/>
          <w:sz w:val="28"/>
          <w:szCs w:val="28"/>
        </w:rPr>
        <w:t>十四點）</w:t>
      </w:r>
    </w:p>
    <w:sectPr w:rsidR="00AA7E02" w:rsidRPr="00A46F69" w:rsidSect="00A46F69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69"/>
    <w:rsid w:val="00A46F69"/>
    <w:rsid w:val="00A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2021-05-04T02:33:00Z</dcterms:created>
  <dcterms:modified xsi:type="dcterms:W3CDTF">2021-05-04T02:43:00Z</dcterms:modified>
</cp:coreProperties>
</file>