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BD" w:rsidRDefault="00ED19FC">
      <w:pPr>
        <w:spacing w:after="360"/>
        <w:jc w:val="center"/>
        <w:rPr>
          <w:rFonts w:ascii="標楷體" w:eastAsia="標楷體" w:hAnsi="標楷體"/>
          <w:b/>
          <w:color w:val="000000"/>
          <w:sz w:val="54"/>
          <w:szCs w:val="54"/>
        </w:rPr>
      </w:pPr>
      <w:r>
        <w:rPr>
          <w:rFonts w:ascii="標楷體" w:eastAsia="標楷體" w:hAnsi="標楷體"/>
          <w:b/>
          <w:color w:val="000000"/>
          <w:sz w:val="54"/>
          <w:szCs w:val="54"/>
        </w:rPr>
        <w:t>拾柒、捷運工程</w:t>
      </w:r>
    </w:p>
    <w:p w:rsidR="00B14CBD" w:rsidRPr="00ED19FC" w:rsidRDefault="00ED19FC" w:rsidP="00ED19FC">
      <w:pPr>
        <w:pStyle w:val="ab"/>
        <w:widowControl/>
        <w:overflowPunct w:val="0"/>
        <w:snapToGrid w:val="0"/>
        <w:spacing w:line="320" w:lineRule="exact"/>
        <w:jc w:val="both"/>
        <w:rPr>
          <w:rFonts w:ascii="微軟正黑體" w:eastAsia="微軟正黑體" w:hAnsi="微軟正黑體" w:cs="?????(P)"/>
          <w:b/>
          <w:bCs/>
          <w:kern w:val="0"/>
          <w:sz w:val="30"/>
          <w:szCs w:val="30"/>
        </w:rPr>
      </w:pPr>
      <w:r w:rsidRPr="00ED19FC">
        <w:rPr>
          <w:rFonts w:ascii="微軟正黑體" w:eastAsia="微軟正黑體" w:hAnsi="微軟正黑體" w:cs="?????(P)"/>
          <w:b/>
          <w:bCs/>
          <w:noProof/>
          <w:kern w:val="0"/>
          <w:sz w:val="30"/>
          <w:szCs w:val="30"/>
        </w:rPr>
        <mc:AlternateContent>
          <mc:Choice Requires="wps">
            <w:drawing>
              <wp:anchor distT="0" distB="0" distL="114300" distR="114300" simplePos="0" relativeHeight="251659264" behindDoc="1" locked="0" layoutInCell="1" allowOverlap="1" wp14:anchorId="61DF4FD1" wp14:editId="4F05E8A8">
                <wp:simplePos x="0" y="0"/>
                <wp:positionH relativeFrom="column">
                  <wp:posOffset>2971800</wp:posOffset>
                </wp:positionH>
                <wp:positionV relativeFrom="paragraph">
                  <wp:posOffset>9601200</wp:posOffset>
                </wp:positionV>
                <wp:extent cx="609603" cy="342900"/>
                <wp:effectExtent l="0" t="0" r="0" b="0"/>
                <wp:wrapNone/>
                <wp:docPr id="1" name="Rectangle 26"/>
                <wp:cNvGraphicFramePr/>
                <a:graphic xmlns:a="http://schemas.openxmlformats.org/drawingml/2006/main">
                  <a:graphicData uri="http://schemas.microsoft.com/office/word/2010/wordprocessingShape">
                    <wps:wsp>
                      <wps:cNvSpPr/>
                      <wps:spPr>
                        <a:xfrm>
                          <a:off x="0" y="0"/>
                          <a:ext cx="609603" cy="342900"/>
                        </a:xfrm>
                        <a:prstGeom prst="rect">
                          <a:avLst/>
                        </a:prstGeom>
                        <a:solidFill>
                          <a:srgbClr val="FFFFFF"/>
                        </a:solidFill>
                        <a:ln>
                          <a:noFill/>
                          <a:prstDash val="solid"/>
                        </a:ln>
                      </wps:spPr>
                      <wps:bodyPr lIns="0" tIns="0" rIns="0" bIns="0"/>
                    </wps:wsp>
                  </a:graphicData>
                </a:graphic>
              </wp:anchor>
            </w:drawing>
          </mc:Choice>
          <mc:Fallback>
            <w:pict>
              <v:rect id="Rectangle 26" o:spid="_x0000_s1026" style="position:absolute;margin-left:234pt;margin-top:756pt;width:48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" stroked="f">
                <v:textbox inset="0,0,0,0"/>
              </v:rect>
            </w:pict>
          </mc:Fallback>
        </mc:AlternateContent>
      </w:r>
      <w:r w:rsidRPr="00ED19FC">
        <w:rPr>
          <w:rFonts w:ascii="微軟正黑體" w:eastAsia="微軟正黑體" w:hAnsi="微軟正黑體" w:cs="?????(P)"/>
          <w:b/>
          <w:bCs/>
          <w:kern w:val="0"/>
          <w:sz w:val="30"/>
          <w:szCs w:val="30"/>
        </w:rPr>
        <w:t>一、高雄環狀輕軌捷運建設</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（一）環狀輕軌捷運建設營運管理、維修</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環狀輕軌C32-C1-C24通車路段全長17.1公里，共31座車站。營運時段為每日6時30分至22時，尖峰時刻平日為06:30-08:30、16:30-18:30，假日為13:00-18:00，尖峰時刻班距10分鐘，離峰時刻班距維持15分鐘。累計至111年12月31日止，運量總計為2,088萬人次，111年日平均運量約13,722人次。</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為進一步拓展綠色運輸的通勤客源及提升捷運使用率，本府捷運局</w:t>
      </w:r>
      <w:proofErr w:type="gramStart"/>
      <w:r w:rsidRPr="00ED19FC">
        <w:rPr>
          <w:rFonts w:ascii="標楷體" w:eastAsia="標楷體" w:hAnsi="標楷體"/>
          <w:bCs/>
          <w:color w:val="000000"/>
          <w:kern w:val="0"/>
          <w:sz w:val="28"/>
          <w:szCs w:val="28"/>
        </w:rPr>
        <w:t>研</w:t>
      </w:r>
      <w:proofErr w:type="gramEnd"/>
      <w:r w:rsidRPr="00ED19FC">
        <w:rPr>
          <w:rFonts w:ascii="標楷體" w:eastAsia="標楷體" w:hAnsi="標楷體"/>
          <w:bCs/>
          <w:color w:val="000000"/>
          <w:kern w:val="0"/>
          <w:sz w:val="28"/>
          <w:szCs w:val="28"/>
        </w:rPr>
        <w:t>提運量提升計畫，</w:t>
      </w:r>
      <w:proofErr w:type="gramStart"/>
      <w:r w:rsidRPr="00ED19FC">
        <w:rPr>
          <w:rFonts w:ascii="標楷體" w:eastAsia="標楷體" w:hAnsi="標楷體"/>
          <w:bCs/>
          <w:color w:val="000000"/>
          <w:kern w:val="0"/>
          <w:sz w:val="28"/>
          <w:szCs w:val="28"/>
        </w:rPr>
        <w:t>採</w:t>
      </w:r>
      <w:proofErr w:type="gramEnd"/>
      <w:r w:rsidRPr="00ED19FC">
        <w:rPr>
          <w:rFonts w:ascii="標楷體" w:eastAsia="標楷體" w:hAnsi="標楷體"/>
          <w:bCs/>
          <w:color w:val="000000"/>
          <w:kern w:val="0"/>
          <w:sz w:val="28"/>
          <w:szCs w:val="28"/>
        </w:rPr>
        <w:t>優惠票價收費，持電子票證刷卡10元，提升輕軌捷運使用率，減少環境污染，貫徹本市推動綠色運輸的政策。</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（二）環狀輕軌捷運建設（第二階段）</w:t>
      </w:r>
    </w:p>
    <w:p w:rsidR="00B14CBD" w:rsidRPr="00ED19FC" w:rsidRDefault="00ED19FC" w:rsidP="00ED19FC">
      <w:pPr>
        <w:widowControl/>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1.環狀輕軌第二階段路線自C14車站起</w:t>
      </w:r>
      <w:proofErr w:type="gramStart"/>
      <w:r w:rsidRPr="00ED19FC">
        <w:rPr>
          <w:rFonts w:ascii="標楷體" w:eastAsia="標楷體" w:hAnsi="標楷體"/>
          <w:bCs/>
          <w:color w:val="000000"/>
          <w:kern w:val="0"/>
          <w:sz w:val="28"/>
          <w:szCs w:val="28"/>
        </w:rPr>
        <w:t>佈</w:t>
      </w:r>
      <w:proofErr w:type="gramEnd"/>
      <w:r w:rsidRPr="00ED19FC">
        <w:rPr>
          <w:rFonts w:ascii="標楷體" w:eastAsia="標楷體" w:hAnsi="標楷體"/>
          <w:bCs/>
          <w:color w:val="000000"/>
          <w:kern w:val="0"/>
          <w:sz w:val="28"/>
          <w:szCs w:val="28"/>
        </w:rPr>
        <w:t>設於原為自行車道之西臨港線鐵路</w:t>
      </w:r>
      <w:proofErr w:type="gramStart"/>
      <w:r w:rsidRPr="00ED19FC">
        <w:rPr>
          <w:rFonts w:ascii="標楷體" w:eastAsia="標楷體" w:hAnsi="標楷體"/>
          <w:bCs/>
          <w:color w:val="000000"/>
          <w:kern w:val="0"/>
          <w:sz w:val="28"/>
          <w:szCs w:val="28"/>
        </w:rPr>
        <w:t>路</w:t>
      </w:r>
      <w:proofErr w:type="gramEnd"/>
      <w:r w:rsidRPr="00ED19FC">
        <w:rPr>
          <w:rFonts w:ascii="標楷體" w:eastAsia="標楷體" w:hAnsi="標楷體"/>
          <w:bCs/>
          <w:color w:val="000000"/>
          <w:kern w:val="0"/>
          <w:sz w:val="28"/>
          <w:szCs w:val="28"/>
        </w:rPr>
        <w:t>廊，往北沿</w:t>
      </w:r>
      <w:proofErr w:type="gramStart"/>
      <w:r w:rsidRPr="00ED19FC">
        <w:rPr>
          <w:rFonts w:ascii="標楷體" w:eastAsia="標楷體" w:hAnsi="標楷體"/>
          <w:bCs/>
          <w:color w:val="000000"/>
          <w:kern w:val="0"/>
          <w:sz w:val="28"/>
          <w:szCs w:val="28"/>
        </w:rPr>
        <w:t>臺鐵園</w:t>
      </w:r>
      <w:proofErr w:type="gramEnd"/>
      <w:r w:rsidRPr="00ED19FC">
        <w:rPr>
          <w:rFonts w:ascii="標楷體" w:eastAsia="標楷體" w:hAnsi="標楷體"/>
          <w:bCs/>
          <w:color w:val="000000"/>
          <w:kern w:val="0"/>
          <w:sz w:val="28"/>
          <w:szCs w:val="28"/>
        </w:rPr>
        <w:t>道至美術館，經過市立聯合醫院後於農十六銜接大順一路，再沿大順</w:t>
      </w:r>
      <w:proofErr w:type="gramStart"/>
      <w:r w:rsidRPr="00ED19FC">
        <w:rPr>
          <w:rFonts w:ascii="標楷體" w:eastAsia="標楷體" w:hAnsi="標楷體"/>
          <w:bCs/>
          <w:color w:val="000000"/>
          <w:kern w:val="0"/>
          <w:sz w:val="28"/>
          <w:szCs w:val="28"/>
        </w:rPr>
        <w:t>一</w:t>
      </w:r>
      <w:proofErr w:type="gramEnd"/>
      <w:r w:rsidRPr="00ED19FC">
        <w:rPr>
          <w:rFonts w:ascii="標楷體" w:eastAsia="標楷體" w:hAnsi="標楷體"/>
          <w:bCs/>
          <w:color w:val="000000"/>
          <w:kern w:val="0"/>
          <w:sz w:val="28"/>
          <w:szCs w:val="28"/>
        </w:rPr>
        <w:t>~三路往東南方向續行，最後在中正路口西南隅之凱旋公園</w:t>
      </w:r>
      <w:proofErr w:type="gramStart"/>
      <w:r w:rsidRPr="00ED19FC">
        <w:rPr>
          <w:rFonts w:ascii="標楷體" w:eastAsia="標楷體" w:hAnsi="標楷體"/>
          <w:bCs/>
          <w:color w:val="000000"/>
          <w:kern w:val="0"/>
          <w:sz w:val="28"/>
          <w:szCs w:val="28"/>
        </w:rPr>
        <w:t>佈</w:t>
      </w:r>
      <w:proofErr w:type="gramEnd"/>
      <w:r w:rsidRPr="00ED19FC">
        <w:rPr>
          <w:rFonts w:ascii="標楷體" w:eastAsia="標楷體" w:hAnsi="標楷體"/>
          <w:bCs/>
          <w:color w:val="000000"/>
          <w:kern w:val="0"/>
          <w:sz w:val="28"/>
          <w:szCs w:val="28"/>
        </w:rPr>
        <w:t>設軌道銜接凱旋二路旁之</w:t>
      </w:r>
      <w:proofErr w:type="gramStart"/>
      <w:r w:rsidRPr="00ED19FC">
        <w:rPr>
          <w:rFonts w:ascii="標楷體" w:eastAsia="標楷體" w:hAnsi="標楷體"/>
          <w:bCs/>
          <w:color w:val="000000"/>
          <w:kern w:val="0"/>
          <w:sz w:val="28"/>
          <w:szCs w:val="28"/>
        </w:rPr>
        <w:t>臺</w:t>
      </w:r>
      <w:proofErr w:type="gramEnd"/>
      <w:r w:rsidRPr="00ED19FC">
        <w:rPr>
          <w:rFonts w:ascii="標楷體" w:eastAsia="標楷體" w:hAnsi="標楷體"/>
          <w:bCs/>
          <w:color w:val="000000"/>
          <w:kern w:val="0"/>
          <w:sz w:val="28"/>
          <w:szCs w:val="28"/>
        </w:rPr>
        <w:t>鐵東臨港線路廊，接回C1車站，全長約13.4公里，設置23處候車站，完成C20至C24路段機電系統設備安裝及測試，並通過初履</w:t>
      </w:r>
      <w:proofErr w:type="gramStart"/>
      <w:r w:rsidRPr="00ED19FC">
        <w:rPr>
          <w:rFonts w:ascii="標楷體" w:eastAsia="標楷體" w:hAnsi="標楷體"/>
          <w:bCs/>
          <w:color w:val="000000"/>
          <w:kern w:val="0"/>
          <w:sz w:val="28"/>
          <w:szCs w:val="28"/>
        </w:rPr>
        <w:t>勘</w:t>
      </w:r>
      <w:proofErr w:type="gramEnd"/>
      <w:r w:rsidRPr="00ED19FC">
        <w:rPr>
          <w:rFonts w:ascii="標楷體" w:eastAsia="標楷體" w:hAnsi="標楷體"/>
          <w:bCs/>
          <w:color w:val="000000"/>
          <w:kern w:val="0"/>
          <w:sz w:val="28"/>
          <w:szCs w:val="28"/>
        </w:rPr>
        <w:t>順利通車，目前通車路段C32-C24車站。</w:t>
      </w:r>
    </w:p>
    <w:p w:rsidR="00B14CBD" w:rsidRPr="00ED19FC" w:rsidRDefault="00ED19FC" w:rsidP="00ED19FC">
      <w:pPr>
        <w:widowControl/>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 xml:space="preserve">2.大順路段（C24【含】~32【不含】）施工進度： </w:t>
      </w:r>
    </w:p>
    <w:p w:rsidR="00B14CBD" w:rsidRPr="00ED19FC" w:rsidRDefault="00ED19FC" w:rsidP="005117C7">
      <w:pPr>
        <w:widowControl/>
        <w:overflowPunct w:val="0"/>
        <w:snapToGrid w:val="0"/>
        <w:spacing w:line="320" w:lineRule="exact"/>
        <w:ind w:left="2041" w:hanging="397"/>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(1)A工區(博愛路至民族路)：已於111年12月6日起</w:t>
      </w:r>
      <w:proofErr w:type="gramStart"/>
      <w:r w:rsidRPr="00ED19FC">
        <w:rPr>
          <w:rFonts w:ascii="標楷體" w:eastAsia="標楷體" w:hAnsi="標楷體"/>
          <w:bCs/>
          <w:color w:val="000000"/>
          <w:kern w:val="0"/>
          <w:sz w:val="28"/>
          <w:szCs w:val="28"/>
        </w:rPr>
        <w:t>陸續圍設圍籬</w:t>
      </w:r>
      <w:proofErr w:type="gramEnd"/>
      <w:r w:rsidRPr="00ED19FC">
        <w:rPr>
          <w:rFonts w:ascii="標楷體" w:eastAsia="標楷體" w:hAnsi="標楷體"/>
          <w:bCs/>
          <w:color w:val="000000"/>
          <w:kern w:val="0"/>
          <w:sz w:val="28"/>
          <w:szCs w:val="28"/>
        </w:rPr>
        <w:t>施工。</w:t>
      </w:r>
    </w:p>
    <w:p w:rsidR="00B14CBD" w:rsidRPr="00ED19FC" w:rsidRDefault="00ED19FC" w:rsidP="005117C7">
      <w:pPr>
        <w:widowControl/>
        <w:overflowPunct w:val="0"/>
        <w:snapToGrid w:val="0"/>
        <w:spacing w:line="320" w:lineRule="exact"/>
        <w:ind w:left="2041" w:hanging="397"/>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(2)B工區(民族路至九如路)：已於111年12月12日起</w:t>
      </w:r>
      <w:proofErr w:type="gramStart"/>
      <w:r w:rsidRPr="00ED19FC">
        <w:rPr>
          <w:rFonts w:ascii="標楷體" w:eastAsia="標楷體" w:hAnsi="標楷體"/>
          <w:bCs/>
          <w:color w:val="000000"/>
          <w:kern w:val="0"/>
          <w:sz w:val="28"/>
          <w:szCs w:val="28"/>
        </w:rPr>
        <w:t>陸續圍設圍籬</w:t>
      </w:r>
      <w:proofErr w:type="gramEnd"/>
      <w:r w:rsidRPr="00ED19FC">
        <w:rPr>
          <w:rFonts w:ascii="標楷體" w:eastAsia="標楷體" w:hAnsi="標楷體"/>
          <w:bCs/>
          <w:color w:val="000000"/>
          <w:kern w:val="0"/>
          <w:sz w:val="28"/>
          <w:szCs w:val="28"/>
        </w:rPr>
        <w:t>施工。</w:t>
      </w:r>
    </w:p>
    <w:p w:rsidR="00B14CBD" w:rsidRDefault="00ED19FC" w:rsidP="005117C7">
      <w:pPr>
        <w:widowControl/>
        <w:overflowPunct w:val="0"/>
        <w:snapToGrid w:val="0"/>
        <w:spacing w:line="320" w:lineRule="exact"/>
        <w:ind w:left="2041" w:hanging="397"/>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(3)C工區(民族路至九如路)：預於112年1月3日起</w:t>
      </w:r>
      <w:proofErr w:type="gramStart"/>
      <w:r w:rsidRPr="00ED19FC">
        <w:rPr>
          <w:rFonts w:ascii="標楷體" w:eastAsia="標楷體" w:hAnsi="標楷體"/>
          <w:bCs/>
          <w:color w:val="000000"/>
          <w:kern w:val="0"/>
          <w:sz w:val="28"/>
          <w:szCs w:val="28"/>
        </w:rPr>
        <w:t>陸續圍設圍籬</w:t>
      </w:r>
      <w:proofErr w:type="gramEnd"/>
      <w:r w:rsidRPr="00ED19FC">
        <w:rPr>
          <w:rFonts w:ascii="標楷體" w:eastAsia="標楷體" w:hAnsi="標楷體"/>
          <w:bCs/>
          <w:color w:val="000000"/>
          <w:kern w:val="0"/>
          <w:sz w:val="28"/>
          <w:szCs w:val="28"/>
        </w:rPr>
        <w:t>施工。</w:t>
      </w:r>
    </w:p>
    <w:p w:rsidR="00FB4698" w:rsidRPr="00ED19FC" w:rsidRDefault="00FB4698" w:rsidP="00ED19FC">
      <w:pPr>
        <w:widowControl/>
        <w:overflowPunct w:val="0"/>
        <w:snapToGrid w:val="0"/>
        <w:spacing w:line="320" w:lineRule="exact"/>
        <w:ind w:left="2098" w:hanging="454"/>
        <w:jc w:val="both"/>
        <w:rPr>
          <w:rFonts w:ascii="標楷體" w:eastAsia="標楷體" w:hAnsi="標楷體"/>
          <w:bCs/>
          <w:color w:val="000000"/>
          <w:kern w:val="0"/>
          <w:sz w:val="28"/>
          <w:szCs w:val="28"/>
        </w:rPr>
      </w:pPr>
    </w:p>
    <w:p w:rsidR="00B14CBD" w:rsidRPr="00ED19FC" w:rsidRDefault="00ED19FC" w:rsidP="00ED19FC">
      <w:pPr>
        <w:pStyle w:val="ab"/>
        <w:widowControl/>
        <w:overflowPunct w:val="0"/>
        <w:snapToGrid w:val="0"/>
        <w:spacing w:line="320" w:lineRule="exact"/>
        <w:jc w:val="both"/>
        <w:rPr>
          <w:rFonts w:ascii="微軟正黑體" w:eastAsia="微軟正黑體" w:hAnsi="微軟正黑體" w:cs="?????(P)"/>
          <w:b/>
          <w:bCs/>
          <w:kern w:val="0"/>
          <w:sz w:val="30"/>
          <w:szCs w:val="30"/>
        </w:rPr>
      </w:pPr>
      <w:r w:rsidRPr="00ED19FC">
        <w:rPr>
          <w:rFonts w:ascii="微軟正黑體" w:eastAsia="微軟正黑體" w:hAnsi="微軟正黑體" w:cs="?????(P)"/>
          <w:b/>
          <w:bCs/>
          <w:kern w:val="0"/>
          <w:sz w:val="30"/>
          <w:szCs w:val="30"/>
        </w:rPr>
        <w:t>二、岡山路竹延伸線</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（一）計畫基本資料</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捷運岡山路竹延伸線起於捷運紅線南岡山站（R24站），行經</w:t>
      </w:r>
      <w:proofErr w:type="gramStart"/>
      <w:r w:rsidRPr="00ED19FC">
        <w:rPr>
          <w:rFonts w:ascii="標楷體" w:eastAsia="標楷體" w:hAnsi="標楷體"/>
          <w:bCs/>
          <w:color w:val="000000"/>
          <w:kern w:val="0"/>
          <w:sz w:val="28"/>
          <w:szCs w:val="28"/>
        </w:rPr>
        <w:t>臺</w:t>
      </w:r>
      <w:proofErr w:type="gramEnd"/>
      <w:r w:rsidRPr="00ED19FC">
        <w:rPr>
          <w:rFonts w:ascii="標楷體" w:eastAsia="標楷體" w:hAnsi="標楷體"/>
          <w:bCs/>
          <w:color w:val="000000"/>
          <w:kern w:val="0"/>
          <w:sz w:val="28"/>
          <w:szCs w:val="28"/>
        </w:rPr>
        <w:t>鐵岡山站、岡山農工、高雄科學園區、高苑科技大學、路竹市區，止於湖內區之</w:t>
      </w:r>
      <w:proofErr w:type="gramStart"/>
      <w:r w:rsidRPr="00ED19FC">
        <w:rPr>
          <w:rFonts w:ascii="標楷體" w:eastAsia="標楷體" w:hAnsi="標楷體"/>
          <w:bCs/>
          <w:color w:val="000000"/>
          <w:kern w:val="0"/>
          <w:sz w:val="28"/>
          <w:szCs w:val="28"/>
        </w:rPr>
        <w:t>臺</w:t>
      </w:r>
      <w:proofErr w:type="gramEnd"/>
      <w:r w:rsidRPr="00ED19FC">
        <w:rPr>
          <w:rFonts w:ascii="標楷體" w:eastAsia="標楷體" w:hAnsi="標楷體"/>
          <w:bCs/>
          <w:color w:val="000000"/>
          <w:kern w:val="0"/>
          <w:sz w:val="28"/>
          <w:szCs w:val="28"/>
        </w:rPr>
        <w:t>鐵大湖車站附近（台1線與台28線交叉口），全長13.08公里，設置8座車站。</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第一階段路線（捷運紅線R24南岡山站至岡山車站）約1.46公里，接續捷運紅線R24南岡山站尾軌跨越阿公店溪，沿線施作高架橋梁及一座高架車站（RK1）。本計畫綜合規劃報告書於105年12月27日奉行政院核定。</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lastRenderedPageBreak/>
        <w:t>第二A階段路線（岡山車站(RK1)至南路竹站段(RK6)）約7.75公里，綜合規劃已於110年3月4日由行政院核定，已於今(111)年初正式動工。</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（二）岡山路竹延伸線（第一階段）</w:t>
      </w:r>
      <w:proofErr w:type="gramStart"/>
      <w:r w:rsidRPr="00ED19FC">
        <w:rPr>
          <w:rFonts w:ascii="標楷體" w:eastAsia="標楷體" w:hAnsi="標楷體"/>
          <w:bCs/>
          <w:color w:val="000000"/>
          <w:kern w:val="0"/>
          <w:sz w:val="28"/>
          <w:szCs w:val="28"/>
        </w:rPr>
        <w:t>土建統包</w:t>
      </w:r>
      <w:proofErr w:type="gramEnd"/>
      <w:r w:rsidRPr="00ED19FC">
        <w:rPr>
          <w:rFonts w:ascii="標楷體" w:eastAsia="標楷體" w:hAnsi="標楷體"/>
          <w:bCs/>
          <w:color w:val="000000"/>
          <w:kern w:val="0"/>
          <w:sz w:val="28"/>
          <w:szCs w:val="28"/>
        </w:rPr>
        <w:t>工程</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本工程計畫先行辦理第一階段土建工程招標，第一階段機電系統(含電聯車、軌道工程)</w:t>
      </w:r>
      <w:proofErr w:type="gramStart"/>
      <w:r w:rsidRPr="00ED19FC">
        <w:rPr>
          <w:rFonts w:ascii="標楷體" w:eastAsia="標楷體" w:hAnsi="標楷體"/>
          <w:bCs/>
          <w:color w:val="000000"/>
          <w:kern w:val="0"/>
          <w:sz w:val="28"/>
          <w:szCs w:val="28"/>
        </w:rPr>
        <w:t>俟</w:t>
      </w:r>
      <w:proofErr w:type="gramEnd"/>
      <w:r w:rsidRPr="00ED19FC">
        <w:rPr>
          <w:rFonts w:ascii="標楷體" w:eastAsia="標楷體" w:hAnsi="標楷體"/>
          <w:bCs/>
          <w:color w:val="000000"/>
          <w:kern w:val="0"/>
          <w:sz w:val="28"/>
          <w:szCs w:val="28"/>
        </w:rPr>
        <w:t>第二階段計畫核定後</w:t>
      </w:r>
      <w:proofErr w:type="gramStart"/>
      <w:r w:rsidRPr="00ED19FC">
        <w:rPr>
          <w:rFonts w:ascii="標楷體" w:eastAsia="標楷體" w:hAnsi="標楷體"/>
          <w:bCs/>
          <w:color w:val="000000"/>
          <w:kern w:val="0"/>
          <w:sz w:val="28"/>
          <w:szCs w:val="28"/>
        </w:rPr>
        <w:t>併</w:t>
      </w:r>
      <w:proofErr w:type="gramEnd"/>
      <w:r w:rsidRPr="00ED19FC">
        <w:rPr>
          <w:rFonts w:ascii="標楷體" w:eastAsia="標楷體" w:hAnsi="標楷體"/>
          <w:bCs/>
          <w:color w:val="000000"/>
          <w:kern w:val="0"/>
          <w:sz w:val="28"/>
          <w:szCs w:val="28"/>
        </w:rPr>
        <w:t>案招標，以擴大機電系統規模。</w:t>
      </w:r>
      <w:proofErr w:type="gramStart"/>
      <w:r w:rsidRPr="00ED19FC">
        <w:rPr>
          <w:rFonts w:ascii="標楷體" w:eastAsia="標楷體" w:hAnsi="標楷體"/>
          <w:bCs/>
          <w:color w:val="000000"/>
          <w:kern w:val="0"/>
          <w:sz w:val="28"/>
          <w:szCs w:val="28"/>
        </w:rPr>
        <w:t>土建統包</w:t>
      </w:r>
      <w:proofErr w:type="gramEnd"/>
      <w:r w:rsidRPr="00ED19FC">
        <w:rPr>
          <w:rFonts w:ascii="標楷體" w:eastAsia="標楷體" w:hAnsi="標楷體"/>
          <w:bCs/>
          <w:color w:val="000000"/>
          <w:kern w:val="0"/>
          <w:sz w:val="28"/>
          <w:szCs w:val="28"/>
        </w:rPr>
        <w:t>工程招標案由新亞建設開發股份有限公司簽約承攬辦理本工程。</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工程部分現正進行軌道鋪設作業、路</w:t>
      </w:r>
      <w:proofErr w:type="gramStart"/>
      <w:r w:rsidRPr="00ED19FC">
        <w:rPr>
          <w:rFonts w:ascii="標楷體" w:eastAsia="標楷體" w:hAnsi="標楷體"/>
          <w:bCs/>
          <w:color w:val="000000"/>
          <w:kern w:val="0"/>
          <w:sz w:val="28"/>
          <w:szCs w:val="28"/>
        </w:rPr>
        <w:t>線段上構及</w:t>
      </w:r>
      <w:proofErr w:type="gramEnd"/>
      <w:r w:rsidRPr="00ED19FC">
        <w:rPr>
          <w:rFonts w:ascii="標楷體" w:eastAsia="標楷體" w:hAnsi="標楷體"/>
          <w:bCs/>
          <w:color w:val="000000"/>
          <w:kern w:val="0"/>
          <w:sz w:val="28"/>
          <w:szCs w:val="28"/>
        </w:rPr>
        <w:t>車站與出入口結構等作業；</w:t>
      </w:r>
      <w:proofErr w:type="gramStart"/>
      <w:r w:rsidRPr="00ED19FC">
        <w:rPr>
          <w:rFonts w:ascii="標楷體" w:eastAsia="標楷體" w:hAnsi="標楷體"/>
          <w:bCs/>
          <w:color w:val="000000"/>
          <w:kern w:val="0"/>
          <w:sz w:val="28"/>
          <w:szCs w:val="28"/>
        </w:rPr>
        <w:t>另跨站</w:t>
      </w:r>
      <w:proofErr w:type="gramEnd"/>
      <w:r w:rsidRPr="00ED19FC">
        <w:rPr>
          <w:rFonts w:ascii="標楷體" w:eastAsia="標楷體" w:hAnsi="標楷體"/>
          <w:bCs/>
          <w:color w:val="000000"/>
          <w:kern w:val="0"/>
          <w:sz w:val="28"/>
          <w:szCs w:val="28"/>
        </w:rPr>
        <w:t>天橋已完成議價，機電系統 (含電聯車)已納入RKM01，現正設計中。截至111年12月31日，預定進度82.95%，實際進度83.49%，超前0.54%，預定113年6月完工。</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崙仔頂路段配合改道用地，</w:t>
      </w:r>
      <w:proofErr w:type="gramStart"/>
      <w:r w:rsidRPr="00ED19FC">
        <w:rPr>
          <w:rFonts w:ascii="標楷體" w:eastAsia="標楷體" w:hAnsi="標楷體"/>
          <w:bCs/>
          <w:color w:val="000000"/>
          <w:kern w:val="0"/>
          <w:sz w:val="28"/>
          <w:szCs w:val="28"/>
        </w:rPr>
        <w:t>經申撥</w:t>
      </w:r>
      <w:proofErr w:type="gramEnd"/>
      <w:r w:rsidRPr="00ED19FC">
        <w:rPr>
          <w:rFonts w:ascii="標楷體" w:eastAsia="標楷體" w:hAnsi="標楷體"/>
          <w:bCs/>
          <w:color w:val="000000"/>
          <w:kern w:val="0"/>
          <w:sz w:val="28"/>
          <w:szCs w:val="28"/>
        </w:rPr>
        <w:t>後於109年6月1日獲行政院准予核撥，於6月11日辦理改道用地牴觸地上物查估，其中和平段777地號土地當日即先交付與工程包商施工管理，經辦後於109年11月完成「河堤路段至中山南路上空穿越段」用地取得及交付與「RK1車站西出入口」用地交付作業，RK1車站東出入口用地於110年8月5日交付，契約內用地皆已完成交付；餘新增1處高架路線段橋面版工程用地，地政局111年12月5日轉知行政院12月2日准予本案核撥，續以辦理土地移轉中。</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（三）岡山路竹延伸線前置規劃作業</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「岡山路竹延伸線暨周邊土地開發計畫」修正計畫(第一階段及第二A階段)於111年11月7日函報交通部審議中。</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依市府「捷運岡山路竹延伸線沿線土地開發專案小組」工作小組會議結論建議，於第二A階段規劃4處捷運開發區（岡山區3處、路竹區1處），已奉市府同意依都市計畫法第27條第1項第4款辦理捷運岡山路竹延伸線RK2、RK3、RK6等3站開發用地之都市計畫個案變更，另於第二B階段規劃4處捷運開發區（路竹區2處、湖內區2處）。</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（四）岡山路竹延伸線(第一、二階段)路線</w:t>
      </w:r>
      <w:proofErr w:type="gramStart"/>
      <w:r w:rsidRPr="00ED19FC">
        <w:rPr>
          <w:rFonts w:ascii="標楷體" w:eastAsia="標楷體" w:hAnsi="標楷體"/>
          <w:bCs/>
          <w:color w:val="000000"/>
          <w:kern w:val="0"/>
          <w:sz w:val="28"/>
          <w:szCs w:val="28"/>
        </w:rPr>
        <w:t>機電統</w:t>
      </w:r>
      <w:proofErr w:type="gramEnd"/>
      <w:r w:rsidRPr="00ED19FC">
        <w:rPr>
          <w:rFonts w:ascii="標楷體" w:eastAsia="標楷體" w:hAnsi="標楷體"/>
          <w:bCs/>
          <w:color w:val="000000"/>
          <w:kern w:val="0"/>
          <w:sz w:val="28"/>
          <w:szCs w:val="28"/>
        </w:rPr>
        <w:t>包工程</w:t>
      </w:r>
    </w:p>
    <w:p w:rsidR="00B14CBD"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岡山路竹延伸線機電系統</w:t>
      </w:r>
      <w:proofErr w:type="gramStart"/>
      <w:r w:rsidRPr="00ED19FC">
        <w:rPr>
          <w:rFonts w:ascii="標楷體" w:eastAsia="標楷體" w:hAnsi="標楷體"/>
          <w:bCs/>
          <w:color w:val="000000"/>
          <w:kern w:val="0"/>
          <w:sz w:val="28"/>
          <w:szCs w:val="28"/>
        </w:rPr>
        <w:t>統</w:t>
      </w:r>
      <w:proofErr w:type="gramEnd"/>
      <w:r w:rsidRPr="00ED19FC">
        <w:rPr>
          <w:rFonts w:ascii="標楷體" w:eastAsia="標楷體" w:hAnsi="標楷體"/>
          <w:bCs/>
          <w:color w:val="000000"/>
          <w:kern w:val="0"/>
          <w:sz w:val="28"/>
          <w:szCs w:val="28"/>
        </w:rPr>
        <w:t>包工程招標案，包含RK1~RK6</w:t>
      </w:r>
      <w:proofErr w:type="gramStart"/>
      <w:r w:rsidRPr="00ED19FC">
        <w:rPr>
          <w:rFonts w:ascii="標楷體" w:eastAsia="標楷體" w:hAnsi="標楷體"/>
          <w:bCs/>
          <w:color w:val="000000"/>
          <w:kern w:val="0"/>
          <w:sz w:val="28"/>
          <w:szCs w:val="28"/>
        </w:rPr>
        <w:t>六</w:t>
      </w:r>
      <w:proofErr w:type="gramEnd"/>
      <w:r w:rsidRPr="00ED19FC">
        <w:rPr>
          <w:rFonts w:ascii="標楷體" w:eastAsia="標楷體" w:hAnsi="標楷體"/>
          <w:bCs/>
          <w:color w:val="000000"/>
          <w:kern w:val="0"/>
          <w:sz w:val="28"/>
          <w:szCs w:val="28"/>
        </w:rPr>
        <w:t>座車站及路線(另RK7~RK8</w:t>
      </w:r>
      <w:proofErr w:type="gramStart"/>
      <w:r w:rsidRPr="00ED19FC">
        <w:rPr>
          <w:rFonts w:ascii="標楷體" w:eastAsia="標楷體" w:hAnsi="標楷體"/>
          <w:bCs/>
          <w:color w:val="000000"/>
          <w:kern w:val="0"/>
          <w:sz w:val="28"/>
          <w:szCs w:val="28"/>
        </w:rPr>
        <w:t>兩</w:t>
      </w:r>
      <w:proofErr w:type="gramEnd"/>
      <w:r w:rsidRPr="00ED19FC">
        <w:rPr>
          <w:rFonts w:ascii="標楷體" w:eastAsia="標楷體" w:hAnsi="標楷體"/>
          <w:bCs/>
          <w:color w:val="000000"/>
          <w:kern w:val="0"/>
          <w:sz w:val="28"/>
          <w:szCs w:val="28"/>
        </w:rPr>
        <w:t>座車站及路線為後續擴充)之電聯車、供電系統、號</w:t>
      </w:r>
      <w:proofErr w:type="gramStart"/>
      <w:r w:rsidRPr="00ED19FC">
        <w:rPr>
          <w:rFonts w:ascii="標楷體" w:eastAsia="標楷體" w:hAnsi="標楷體"/>
          <w:bCs/>
          <w:color w:val="000000"/>
          <w:kern w:val="0"/>
          <w:sz w:val="28"/>
          <w:szCs w:val="28"/>
        </w:rPr>
        <w:t>誌</w:t>
      </w:r>
      <w:proofErr w:type="gramEnd"/>
      <w:r w:rsidRPr="00ED19FC">
        <w:rPr>
          <w:rFonts w:ascii="標楷體" w:eastAsia="標楷體" w:hAnsi="標楷體"/>
          <w:bCs/>
          <w:color w:val="000000"/>
          <w:kern w:val="0"/>
          <w:sz w:val="28"/>
          <w:szCs w:val="28"/>
        </w:rPr>
        <w:t>系統、通訊系統、自動收費系統、中央監控及資料擷取系統(SCADA)及月台門系統等興建工程，共採購10列電聯車(其中2列為後續擴充)。本案已於110年11月10日決標，得標廠商為「新加坡科技電子有限公司」及「韓國現代樂鐵有限公司」團隊，工程進度至111年12月底，預定進度11.46％，超前3.15％，實際進度14.61％，目前進行細部設計作業中，</w:t>
      </w:r>
      <w:proofErr w:type="gramStart"/>
      <w:r w:rsidRPr="00ED19FC">
        <w:rPr>
          <w:rFonts w:ascii="標楷體" w:eastAsia="標楷體" w:hAnsi="標楷體"/>
          <w:bCs/>
          <w:color w:val="000000"/>
          <w:kern w:val="0"/>
          <w:sz w:val="28"/>
          <w:szCs w:val="28"/>
        </w:rPr>
        <w:t>俟</w:t>
      </w:r>
      <w:proofErr w:type="gramEnd"/>
      <w:r w:rsidRPr="00ED19FC">
        <w:rPr>
          <w:rFonts w:ascii="標楷體" w:eastAsia="標楷體" w:hAnsi="標楷體"/>
          <w:bCs/>
          <w:color w:val="000000"/>
          <w:kern w:val="0"/>
          <w:sz w:val="28"/>
          <w:szCs w:val="28"/>
        </w:rPr>
        <w:t>各系統完成細設後將進行後續設備採購及製造，並配合車站土建交付進場進行安裝及測試，預計於113年中先通車至RK1岡山車站，並於116年完工全線通車(~RK6)。</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（五）岡山路竹延伸線（第二階段）</w:t>
      </w:r>
      <w:proofErr w:type="gramStart"/>
      <w:r w:rsidRPr="00ED19FC">
        <w:rPr>
          <w:rFonts w:ascii="標楷體" w:eastAsia="標楷體" w:hAnsi="標楷體"/>
          <w:bCs/>
          <w:color w:val="000000"/>
          <w:kern w:val="0"/>
          <w:sz w:val="28"/>
          <w:szCs w:val="28"/>
        </w:rPr>
        <w:t>土建暨軌道</w:t>
      </w:r>
      <w:proofErr w:type="gramEnd"/>
      <w:r w:rsidRPr="00ED19FC">
        <w:rPr>
          <w:rFonts w:ascii="標楷體" w:eastAsia="標楷體" w:hAnsi="標楷體"/>
          <w:bCs/>
          <w:color w:val="000000"/>
          <w:kern w:val="0"/>
          <w:sz w:val="28"/>
          <w:szCs w:val="28"/>
        </w:rPr>
        <w:t>統包工程</w:t>
      </w:r>
    </w:p>
    <w:p w:rsidR="00B14CBD"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proofErr w:type="gramStart"/>
      <w:r w:rsidRPr="00ED19FC">
        <w:rPr>
          <w:rFonts w:ascii="標楷體" w:eastAsia="標楷體" w:hAnsi="標楷體"/>
          <w:bCs/>
          <w:color w:val="000000"/>
          <w:kern w:val="0"/>
          <w:sz w:val="28"/>
          <w:szCs w:val="28"/>
        </w:rPr>
        <w:lastRenderedPageBreak/>
        <w:t>土建暨軌道</w:t>
      </w:r>
      <w:proofErr w:type="gramEnd"/>
      <w:r w:rsidRPr="00ED19FC">
        <w:rPr>
          <w:rFonts w:ascii="標楷體" w:eastAsia="標楷體" w:hAnsi="標楷體"/>
          <w:bCs/>
          <w:color w:val="000000"/>
          <w:kern w:val="0"/>
          <w:sz w:val="28"/>
          <w:szCs w:val="28"/>
        </w:rPr>
        <w:t>統包工程於111年1月18日決標，由遠揚營造公司得標承攬，已於1月26日假岡山農工辦理動土典禮，並於3月15日起算NTP，現刻正辦理先期計畫提送、現況管線調查及細部設計等作業，</w:t>
      </w:r>
      <w:proofErr w:type="gramStart"/>
      <w:r w:rsidRPr="00ED19FC">
        <w:rPr>
          <w:rFonts w:ascii="標楷體" w:eastAsia="標楷體" w:hAnsi="標楷體"/>
          <w:bCs/>
          <w:color w:val="000000"/>
          <w:kern w:val="0"/>
          <w:sz w:val="28"/>
          <w:szCs w:val="28"/>
        </w:rPr>
        <w:t>俟</w:t>
      </w:r>
      <w:proofErr w:type="gramEnd"/>
      <w:r w:rsidRPr="00ED19FC">
        <w:rPr>
          <w:rFonts w:ascii="標楷體" w:eastAsia="標楷體" w:hAnsi="標楷體"/>
          <w:bCs/>
          <w:color w:val="000000"/>
          <w:kern w:val="0"/>
          <w:sz w:val="28"/>
          <w:szCs w:val="28"/>
        </w:rPr>
        <w:t>辦理完成後即刻實質進場施工，力拼第二A階段RK2至RK6於116年年底通車營運。</w:t>
      </w:r>
    </w:p>
    <w:p w:rsidR="00ED19FC"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p>
    <w:p w:rsidR="00B14CBD" w:rsidRPr="00ED19FC" w:rsidRDefault="00ED19FC" w:rsidP="00ED19FC">
      <w:pPr>
        <w:pStyle w:val="ab"/>
        <w:widowControl/>
        <w:overflowPunct w:val="0"/>
        <w:snapToGrid w:val="0"/>
        <w:spacing w:line="320" w:lineRule="exact"/>
        <w:jc w:val="both"/>
        <w:rPr>
          <w:rFonts w:ascii="微軟正黑體" w:eastAsia="微軟正黑體" w:hAnsi="微軟正黑體" w:cs="?????(P)"/>
          <w:b/>
          <w:bCs/>
          <w:kern w:val="0"/>
          <w:sz w:val="30"/>
          <w:szCs w:val="30"/>
        </w:rPr>
      </w:pPr>
      <w:r w:rsidRPr="00ED19FC">
        <w:rPr>
          <w:rFonts w:ascii="微軟正黑體" w:eastAsia="微軟正黑體" w:hAnsi="微軟正黑體" w:cs="?????(P)"/>
          <w:b/>
          <w:bCs/>
          <w:kern w:val="0"/>
          <w:sz w:val="30"/>
          <w:szCs w:val="30"/>
        </w:rPr>
        <w:t>三、捷運都會線（黃線）</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（一）計畫基本資料</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本路線經三多路、民權路(四維行政中心)、民族路、建工路(國立高雄科技大學_建工校區、高雄高工)、本館路、大埤路(澄清湖風景區、長庚醫院、棒球場)及鳥松仁美都市計畫區(機廠)，另由澄清路(鳳山行政中心)再銜接國泰路(市議會、衛武營、國家藝術文化中心)、南京路、五甲路、鎮中路(前鎮區公所)，全長共22.91公里，車站數23站，計畫總經費約1,442.37億元，中央分攤833.82億元，地方分攤603.55億元。</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因應高雄縣市合併後之整體發展，都會區因產業發展與人口遷移之改變，未來大高雄將朝向多元化的大眾運具發展，為促進大高雄都會區大眾捷運系統長遠發展，打造大高雄地區30分鐘生活圈的優質大眾運輸環境，持續推動捷運後續延伸路網建設有其必要性。高雄都會區大眾捷運系統都會線（黃線）建設計畫為接續高雄捷運紅、</w:t>
      </w:r>
      <w:proofErr w:type="gramStart"/>
      <w:r w:rsidRPr="00ED19FC">
        <w:rPr>
          <w:rFonts w:ascii="標楷體" w:eastAsia="標楷體" w:hAnsi="標楷體"/>
          <w:bCs/>
          <w:color w:val="000000"/>
          <w:kern w:val="0"/>
          <w:sz w:val="28"/>
          <w:szCs w:val="28"/>
        </w:rPr>
        <w:t>橘</w:t>
      </w:r>
      <w:proofErr w:type="gramEnd"/>
      <w:r w:rsidRPr="00ED19FC">
        <w:rPr>
          <w:rFonts w:ascii="標楷體" w:eastAsia="標楷體" w:hAnsi="標楷體"/>
          <w:bCs/>
          <w:color w:val="000000"/>
          <w:kern w:val="0"/>
          <w:sz w:val="28"/>
          <w:szCs w:val="28"/>
        </w:rPr>
        <w:t>線後之第三條捷運路線，納入行政院「前瞻基礎建設計畫」，為高雄都會區大眾捷運系統整體路網評估之最優先興建路線。</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黃線連接亞洲新灣區、都會核心區、澄清湖地區，以及鳥松、三民、鳳山、</w:t>
      </w:r>
      <w:proofErr w:type="gramStart"/>
      <w:r w:rsidRPr="00ED19FC">
        <w:rPr>
          <w:rFonts w:ascii="標楷體" w:eastAsia="標楷體" w:hAnsi="標楷體"/>
          <w:bCs/>
          <w:color w:val="000000"/>
          <w:kern w:val="0"/>
          <w:sz w:val="28"/>
          <w:szCs w:val="28"/>
        </w:rPr>
        <w:t>苓</w:t>
      </w:r>
      <w:proofErr w:type="gramEnd"/>
      <w:r w:rsidRPr="00ED19FC">
        <w:rPr>
          <w:rFonts w:ascii="標楷體" w:eastAsia="標楷體" w:hAnsi="標楷體"/>
          <w:bCs/>
          <w:color w:val="000000"/>
          <w:kern w:val="0"/>
          <w:sz w:val="28"/>
          <w:szCs w:val="28"/>
        </w:rPr>
        <w:t>雅、新興、前鎮等行政區重要旅次據點，並串連捷運紅、</w:t>
      </w:r>
      <w:proofErr w:type="gramStart"/>
      <w:r w:rsidRPr="00ED19FC">
        <w:rPr>
          <w:rFonts w:ascii="標楷體" w:eastAsia="標楷體" w:hAnsi="標楷體"/>
          <w:bCs/>
          <w:color w:val="000000"/>
          <w:kern w:val="0"/>
          <w:sz w:val="28"/>
          <w:szCs w:val="28"/>
        </w:rPr>
        <w:t>橘</w:t>
      </w:r>
      <w:proofErr w:type="gramEnd"/>
      <w:r w:rsidRPr="00ED19FC">
        <w:rPr>
          <w:rFonts w:ascii="標楷體" w:eastAsia="標楷體" w:hAnsi="標楷體"/>
          <w:bCs/>
          <w:color w:val="000000"/>
          <w:kern w:val="0"/>
          <w:sz w:val="28"/>
          <w:szCs w:val="28"/>
        </w:rPr>
        <w:t>線、輕軌及鐵路地下化車站，使都會</w:t>
      </w:r>
      <w:proofErr w:type="gramStart"/>
      <w:r w:rsidRPr="00ED19FC">
        <w:rPr>
          <w:rFonts w:ascii="標楷體" w:eastAsia="標楷體" w:hAnsi="標楷體"/>
          <w:bCs/>
          <w:color w:val="000000"/>
          <w:kern w:val="0"/>
          <w:sz w:val="28"/>
          <w:szCs w:val="28"/>
        </w:rPr>
        <w:t>核心區路網</w:t>
      </w:r>
      <w:proofErr w:type="gramEnd"/>
      <w:r w:rsidRPr="00ED19FC">
        <w:rPr>
          <w:rFonts w:ascii="標楷體" w:eastAsia="標楷體" w:hAnsi="標楷體"/>
          <w:bCs/>
          <w:color w:val="000000"/>
          <w:kern w:val="0"/>
          <w:sz w:val="28"/>
          <w:szCs w:val="28"/>
        </w:rPr>
        <w:t>更趨完整，沿線重要景點有亞洲新灣區、衛武營國家藝術文化中心、長庚醫院、澄清湖風景區等，未來通車後，提供都會核心區間之便捷密集大眾運輸服務，提昇整體軌道運輸效益，</w:t>
      </w:r>
      <w:proofErr w:type="gramStart"/>
      <w:r w:rsidRPr="00ED19FC">
        <w:rPr>
          <w:rFonts w:ascii="標楷體" w:eastAsia="標楷體" w:hAnsi="標楷體"/>
          <w:bCs/>
          <w:color w:val="000000"/>
          <w:kern w:val="0"/>
          <w:sz w:val="28"/>
          <w:szCs w:val="28"/>
        </w:rPr>
        <w:t>將迎來</w:t>
      </w:r>
      <w:proofErr w:type="gramEnd"/>
      <w:r w:rsidRPr="00ED19FC">
        <w:rPr>
          <w:rFonts w:ascii="標楷體" w:eastAsia="標楷體" w:hAnsi="標楷體"/>
          <w:bCs/>
          <w:color w:val="000000"/>
          <w:kern w:val="0"/>
          <w:sz w:val="28"/>
          <w:szCs w:val="28"/>
        </w:rPr>
        <w:t>可觀人潮，帶動地方發展，預定117年完工通車。</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（二）規劃進度</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108年5月24日都會線(黃線)可行性研究報告書獲行政院核定，接續之綜合規劃及環境影響評估作業於108年6月3日正式啟動。為使黃線行經之行政區及市民了解黃線綜合規劃內容，在</w:t>
      </w:r>
      <w:proofErr w:type="gramStart"/>
      <w:r w:rsidRPr="00ED19FC">
        <w:rPr>
          <w:rFonts w:ascii="標楷體" w:eastAsia="標楷體" w:hAnsi="標楷體"/>
          <w:bCs/>
          <w:color w:val="000000"/>
          <w:kern w:val="0"/>
          <w:sz w:val="28"/>
          <w:szCs w:val="28"/>
        </w:rPr>
        <w:t>鳥松區</w:t>
      </w:r>
      <w:proofErr w:type="gramEnd"/>
      <w:r w:rsidRPr="00ED19FC">
        <w:rPr>
          <w:rFonts w:ascii="標楷體" w:eastAsia="標楷體" w:hAnsi="標楷體"/>
          <w:bCs/>
          <w:color w:val="000000"/>
          <w:kern w:val="0"/>
          <w:sz w:val="28"/>
          <w:szCs w:val="28"/>
        </w:rPr>
        <w:t>、鳳山區及三民區辦理地方說明會，並在苓雅區公所辦理黃線綜合規劃公聽會，另召開</w:t>
      </w:r>
      <w:proofErr w:type="gramStart"/>
      <w:r w:rsidRPr="00ED19FC">
        <w:rPr>
          <w:rFonts w:ascii="標楷體" w:eastAsia="標楷體" w:hAnsi="標楷體"/>
          <w:bCs/>
          <w:color w:val="000000"/>
          <w:kern w:val="0"/>
          <w:sz w:val="28"/>
          <w:szCs w:val="28"/>
        </w:rPr>
        <w:t>苓</w:t>
      </w:r>
      <w:proofErr w:type="gramEnd"/>
      <w:r w:rsidRPr="00ED19FC">
        <w:rPr>
          <w:rFonts w:ascii="標楷體" w:eastAsia="標楷體" w:hAnsi="標楷體"/>
          <w:bCs/>
          <w:color w:val="000000"/>
          <w:kern w:val="0"/>
          <w:sz w:val="28"/>
          <w:szCs w:val="28"/>
        </w:rPr>
        <w:t>雅、新興及前鎮區聯合地方說明會，說明會、公聽會意見作為</w:t>
      </w:r>
      <w:proofErr w:type="gramStart"/>
      <w:r w:rsidRPr="00ED19FC">
        <w:rPr>
          <w:rFonts w:ascii="標楷體" w:eastAsia="標楷體" w:hAnsi="標楷體"/>
          <w:bCs/>
          <w:color w:val="000000"/>
          <w:kern w:val="0"/>
          <w:sz w:val="28"/>
          <w:szCs w:val="28"/>
        </w:rPr>
        <w:t>研</w:t>
      </w:r>
      <w:proofErr w:type="gramEnd"/>
      <w:r w:rsidRPr="00ED19FC">
        <w:rPr>
          <w:rFonts w:ascii="標楷體" w:eastAsia="標楷體" w:hAnsi="標楷體"/>
          <w:bCs/>
          <w:color w:val="000000"/>
          <w:kern w:val="0"/>
          <w:sz w:val="28"/>
          <w:szCs w:val="28"/>
        </w:rPr>
        <w:t>議綜合規劃之評估參考。環境影響說明書於109年10月12日提報交通部審查，經交通部轉行政院環保署審查，環保署於110年7月14日召開視訊大會審議通過，黃線綜合規劃報告經111年3月20日行政院蘇院長視察黃線後於111年3月21日核定。</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都市計畫變更進度，黃線都市計畫變更書圖已於110年9月11日至110年10月13日完成公開展覽及法定說明會，捷運局截至111</w:t>
      </w:r>
      <w:r w:rsidRPr="00ED19FC">
        <w:rPr>
          <w:rFonts w:ascii="標楷體" w:eastAsia="標楷體" w:hAnsi="標楷體"/>
          <w:bCs/>
          <w:color w:val="000000"/>
          <w:kern w:val="0"/>
          <w:sz w:val="28"/>
          <w:szCs w:val="28"/>
        </w:rPr>
        <w:lastRenderedPageBreak/>
        <w:t>年12月31日止，共辦理29場捷運開發說明會，</w:t>
      </w:r>
      <w:proofErr w:type="gramStart"/>
      <w:r w:rsidRPr="00ED19FC">
        <w:rPr>
          <w:rFonts w:ascii="標楷體" w:eastAsia="標楷體" w:hAnsi="標楷體"/>
          <w:bCs/>
          <w:color w:val="000000"/>
          <w:kern w:val="0"/>
          <w:sz w:val="28"/>
          <w:szCs w:val="28"/>
        </w:rPr>
        <w:t>俟</w:t>
      </w:r>
      <w:proofErr w:type="gramEnd"/>
      <w:r w:rsidRPr="00ED19FC">
        <w:rPr>
          <w:rFonts w:ascii="標楷體" w:eastAsia="標楷體" w:hAnsi="標楷體"/>
          <w:bCs/>
          <w:color w:val="000000"/>
          <w:kern w:val="0"/>
          <w:sz w:val="28"/>
          <w:szCs w:val="28"/>
        </w:rPr>
        <w:t>都計變更完成審議程序後，據以辦理用地取得及開發作業。</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（三）基本設計委託服務案</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為利基本設計審議送審作業接續綜合規劃核定後進行，已同步啟動基本設計作業，並於110年7月27日與「台灣</w:t>
      </w:r>
      <w:proofErr w:type="gramStart"/>
      <w:r w:rsidRPr="00ED19FC">
        <w:rPr>
          <w:rFonts w:ascii="標楷體" w:eastAsia="標楷體" w:hAnsi="標楷體"/>
          <w:bCs/>
          <w:color w:val="000000"/>
          <w:kern w:val="0"/>
          <w:sz w:val="28"/>
          <w:szCs w:val="28"/>
        </w:rPr>
        <w:t>世</w:t>
      </w:r>
      <w:proofErr w:type="gramEnd"/>
      <w:r w:rsidRPr="00ED19FC">
        <w:rPr>
          <w:rFonts w:ascii="標楷體" w:eastAsia="標楷體" w:hAnsi="標楷體"/>
          <w:bCs/>
          <w:color w:val="000000"/>
          <w:kern w:val="0"/>
          <w:sz w:val="28"/>
          <w:szCs w:val="28"/>
        </w:rPr>
        <w:t>曦工程顧問股份有限公司」完成基本設計委託服務案訂約。</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就基本設計送中央審議部分，行政院在111年3月21日核定綜合規劃後，捷運工程局隨即於3月22提送基本設計資料至交通部進行審議，經交通部審查無意見後核轉工程會，工程會並於111年7月27日完成審查核定在案。</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為加速進度辦理，分別以YM01標機電</w:t>
      </w:r>
      <w:proofErr w:type="gramStart"/>
      <w:r w:rsidRPr="00ED19FC">
        <w:rPr>
          <w:rFonts w:ascii="標楷體" w:eastAsia="標楷體" w:hAnsi="標楷體"/>
          <w:bCs/>
          <w:color w:val="000000"/>
          <w:kern w:val="0"/>
          <w:sz w:val="28"/>
          <w:szCs w:val="28"/>
        </w:rPr>
        <w:t>系統暨機廠與主變電</w:t>
      </w:r>
      <w:proofErr w:type="gramEnd"/>
      <w:r w:rsidRPr="00ED19FC">
        <w:rPr>
          <w:rFonts w:ascii="標楷體" w:eastAsia="標楷體" w:hAnsi="標楷體"/>
          <w:bCs/>
          <w:color w:val="000000"/>
          <w:kern w:val="0"/>
          <w:sz w:val="28"/>
          <w:szCs w:val="28"/>
        </w:rPr>
        <w:t>站統包工程、YC01標</w:t>
      </w:r>
      <w:hyperlink r:id="rId8" w:history="1">
        <w:r w:rsidRPr="00ED19FC">
          <w:rPr>
            <w:rFonts w:ascii="標楷體" w:eastAsia="標楷體" w:hAnsi="標楷體"/>
            <w:bCs/>
            <w:color w:val="000000"/>
            <w:kern w:val="0"/>
            <w:sz w:val="28"/>
            <w:szCs w:val="28"/>
          </w:rPr>
          <w:t>土建及設施</w:t>
        </w:r>
        <w:proofErr w:type="gramStart"/>
        <w:r w:rsidRPr="00ED19FC">
          <w:rPr>
            <w:rFonts w:ascii="標楷體" w:eastAsia="標楷體" w:hAnsi="標楷體"/>
            <w:bCs/>
            <w:color w:val="000000"/>
            <w:kern w:val="0"/>
            <w:sz w:val="28"/>
            <w:szCs w:val="28"/>
          </w:rPr>
          <w:t>機電統</w:t>
        </w:r>
        <w:proofErr w:type="gramEnd"/>
        <w:r w:rsidRPr="00ED19FC">
          <w:rPr>
            <w:rFonts w:ascii="標楷體" w:eastAsia="標楷體" w:hAnsi="標楷體"/>
            <w:bCs/>
            <w:color w:val="000000"/>
            <w:kern w:val="0"/>
            <w:sz w:val="28"/>
            <w:szCs w:val="28"/>
          </w:rPr>
          <w:t>包工程</w:t>
        </w:r>
      </w:hyperlink>
      <w:r w:rsidRPr="00ED19FC">
        <w:rPr>
          <w:rFonts w:ascii="標楷體" w:eastAsia="標楷體" w:hAnsi="標楷體"/>
          <w:bCs/>
          <w:color w:val="000000"/>
          <w:kern w:val="0"/>
          <w:sz w:val="28"/>
          <w:szCs w:val="28"/>
        </w:rPr>
        <w:t>、</w:t>
      </w:r>
      <w:hyperlink r:id="rId9" w:history="1">
        <w:r w:rsidRPr="00ED19FC">
          <w:rPr>
            <w:rFonts w:ascii="標楷體" w:eastAsia="標楷體" w:hAnsi="標楷體"/>
            <w:bCs/>
            <w:color w:val="000000"/>
            <w:kern w:val="0"/>
            <w:sz w:val="28"/>
            <w:szCs w:val="28"/>
          </w:rPr>
          <w:t>YT01標軌道統包工程</w:t>
        </w:r>
      </w:hyperlink>
      <w:r w:rsidRPr="00ED19FC">
        <w:rPr>
          <w:rFonts w:ascii="標楷體" w:eastAsia="標楷體" w:hAnsi="標楷體"/>
          <w:bCs/>
          <w:color w:val="000000"/>
          <w:kern w:val="0"/>
          <w:sz w:val="28"/>
          <w:szCs w:val="28"/>
        </w:rPr>
        <w:t>辦理招標。</w:t>
      </w:r>
    </w:p>
    <w:p w:rsidR="00B14CBD" w:rsidRPr="00ED19FC" w:rsidRDefault="00ED19FC" w:rsidP="00ED19FC">
      <w:pPr>
        <w:widowControl/>
        <w:numPr>
          <w:ilvl w:val="0"/>
          <w:numId w:val="1"/>
        </w:numPr>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YM01標於111年5月19日起上網公告招標，7月28日辦理開標作業，8月26日決標，得標廠商為「德國西門子交通運輸股份有限公司台灣分公司」、「新加坡科技電子有限公司」及「施泰德鐵路股份有限公司」聯合承攬團隊，10月3日完成簽約，並於10月31日舉辦</w:t>
      </w:r>
      <w:proofErr w:type="gramStart"/>
      <w:r w:rsidRPr="00ED19FC">
        <w:rPr>
          <w:rFonts w:ascii="標楷體" w:eastAsia="標楷體" w:hAnsi="標楷體"/>
          <w:bCs/>
          <w:color w:val="000000"/>
          <w:kern w:val="0"/>
          <w:sz w:val="28"/>
          <w:szCs w:val="28"/>
        </w:rPr>
        <w:t>機廠統包</w:t>
      </w:r>
      <w:proofErr w:type="gramEnd"/>
      <w:r w:rsidRPr="00ED19FC">
        <w:rPr>
          <w:rFonts w:ascii="標楷體" w:eastAsia="標楷體" w:hAnsi="標楷體"/>
          <w:bCs/>
          <w:color w:val="000000"/>
          <w:kern w:val="0"/>
          <w:sz w:val="28"/>
          <w:szCs w:val="28"/>
        </w:rPr>
        <w:t>工程動土典禮。</w:t>
      </w:r>
    </w:p>
    <w:p w:rsidR="00B14CBD" w:rsidRPr="00ED19FC" w:rsidRDefault="00ED19FC" w:rsidP="00ED19FC">
      <w:pPr>
        <w:widowControl/>
        <w:numPr>
          <w:ilvl w:val="0"/>
          <w:numId w:val="1"/>
        </w:numPr>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YC01標於111年11月10日起上網公告招標，12月20日開標，因無廠商投標，將持續檢討招標文件另行公告。</w:t>
      </w:r>
    </w:p>
    <w:p w:rsidR="00B14CBD" w:rsidRPr="00ED19FC" w:rsidRDefault="00ED19FC" w:rsidP="00ED19FC">
      <w:pPr>
        <w:widowControl/>
        <w:numPr>
          <w:ilvl w:val="0"/>
          <w:numId w:val="1"/>
        </w:numPr>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YT01標於111年11月10日起上網公告招標，12月20日開標未達三家流標，辦理第二次上網招標，112年1月4日開標，本次三家投標，預定112年1月12日辦理評選。</w:t>
      </w:r>
    </w:p>
    <w:p w:rsidR="00B14CBD" w:rsidRDefault="00B14CBD">
      <w:pPr>
        <w:snapToGrid w:val="0"/>
        <w:spacing w:line="390" w:lineRule="exact"/>
        <w:ind w:left="1418"/>
        <w:jc w:val="both"/>
        <w:rPr>
          <w:rFonts w:ascii="標楷體" w:eastAsia="標楷體" w:hAnsi="標楷體"/>
          <w:color w:val="000000"/>
          <w:sz w:val="28"/>
          <w:szCs w:val="28"/>
        </w:rPr>
      </w:pPr>
    </w:p>
    <w:p w:rsidR="00B14CBD" w:rsidRPr="00ED19FC" w:rsidRDefault="00ED19FC" w:rsidP="00ED19FC">
      <w:pPr>
        <w:pStyle w:val="ab"/>
        <w:widowControl/>
        <w:overflowPunct w:val="0"/>
        <w:snapToGrid w:val="0"/>
        <w:spacing w:line="320" w:lineRule="exact"/>
        <w:jc w:val="both"/>
        <w:rPr>
          <w:rFonts w:ascii="微軟正黑體" w:eastAsia="微軟正黑體" w:hAnsi="微軟正黑體" w:cs="?????(P)"/>
          <w:b/>
          <w:bCs/>
          <w:kern w:val="0"/>
          <w:sz w:val="30"/>
          <w:szCs w:val="30"/>
        </w:rPr>
      </w:pPr>
      <w:r w:rsidRPr="00ED19FC">
        <w:rPr>
          <w:rFonts w:ascii="微軟正黑體" w:eastAsia="微軟正黑體" w:hAnsi="微軟正黑體" w:cs="?????(P)"/>
          <w:b/>
          <w:bCs/>
          <w:kern w:val="0"/>
          <w:sz w:val="30"/>
          <w:szCs w:val="30"/>
        </w:rPr>
        <w:t>四、小港林園線計畫</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（一）可行性研究</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本案規劃</w:t>
      </w:r>
      <w:proofErr w:type="gramStart"/>
      <w:r w:rsidRPr="00ED19FC">
        <w:rPr>
          <w:rFonts w:ascii="標楷體" w:eastAsia="標楷體" w:hAnsi="標楷體"/>
          <w:bCs/>
          <w:color w:val="000000"/>
          <w:kern w:val="0"/>
          <w:sz w:val="28"/>
          <w:szCs w:val="28"/>
        </w:rPr>
        <w:t>採</w:t>
      </w:r>
      <w:proofErr w:type="gramEnd"/>
      <w:r w:rsidRPr="00ED19FC">
        <w:rPr>
          <w:rFonts w:ascii="標楷體" w:eastAsia="標楷體" w:hAnsi="標楷體"/>
          <w:bCs/>
          <w:color w:val="000000"/>
          <w:kern w:val="0"/>
          <w:sz w:val="28"/>
          <w:szCs w:val="28"/>
        </w:rPr>
        <w:t>紅線延伸地下捷運系統提報可行性研究，為加速辦理時程，已分別於108年10月30日、109年3月31日、109年6月30日、9月25日、12月10日、110年2月9日、3月8日、6月17日及10月26日提送交通部審議； 109年12月29日於林園區幸福公園召開可行性研究說明會，市長率林副市長及相關局處首長親自出席並全程參與，中央及地方民代、24個里里長亦親自參與，吸引近700位民眾參加，場面熱絡，可行性研究已於110年12月17日獲行政院核定。</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（二）綜</w:t>
      </w:r>
      <w:proofErr w:type="gramStart"/>
      <w:r w:rsidRPr="00ED19FC">
        <w:rPr>
          <w:rFonts w:ascii="標楷體" w:eastAsia="標楷體" w:hAnsi="標楷體"/>
          <w:bCs/>
          <w:color w:val="000000"/>
          <w:kern w:val="0"/>
          <w:sz w:val="28"/>
          <w:szCs w:val="28"/>
        </w:rPr>
        <w:t>規</w:t>
      </w:r>
      <w:proofErr w:type="gramEnd"/>
      <w:r w:rsidRPr="00ED19FC">
        <w:rPr>
          <w:rFonts w:ascii="標楷體" w:eastAsia="標楷體" w:hAnsi="標楷體"/>
          <w:bCs/>
          <w:color w:val="000000"/>
          <w:kern w:val="0"/>
          <w:sz w:val="28"/>
          <w:szCs w:val="28"/>
        </w:rPr>
        <w:t>環評</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環境影響說明書已於110年10月26日上網公開，環說書公開會議已於11月30日辦理完竣，12月21日、111年1月25日提送交通部審議中，2月24日交通部函轉至行政院環保署，4月14日環保署辦理現</w:t>
      </w:r>
      <w:proofErr w:type="gramStart"/>
      <w:r w:rsidRPr="00ED19FC">
        <w:rPr>
          <w:rFonts w:ascii="標楷體" w:eastAsia="標楷體" w:hAnsi="標楷體"/>
          <w:bCs/>
          <w:color w:val="000000"/>
          <w:kern w:val="0"/>
          <w:sz w:val="28"/>
          <w:szCs w:val="28"/>
        </w:rPr>
        <w:t>勘</w:t>
      </w:r>
      <w:proofErr w:type="gramEnd"/>
      <w:r w:rsidRPr="00ED19FC">
        <w:rPr>
          <w:rFonts w:ascii="標楷體" w:eastAsia="標楷體" w:hAnsi="標楷體"/>
          <w:bCs/>
          <w:color w:val="000000"/>
          <w:kern w:val="0"/>
          <w:sz w:val="28"/>
          <w:szCs w:val="28"/>
        </w:rPr>
        <w:t>作業，4月27日、6月7日環保署分別辦理專案小組初審會議，6月29日經環保署環評大會審查通過，8月16日獲環保署備查。</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綜合規劃公聽會於111年1月6日於林園區幸福公園舉辦，綜合規劃報告已於111年1月20日、2月14日、3月18日、4月28日提送交</w:t>
      </w:r>
      <w:r w:rsidRPr="00ED19FC">
        <w:rPr>
          <w:rFonts w:ascii="標楷體" w:eastAsia="標楷體" w:hAnsi="標楷體"/>
          <w:bCs/>
          <w:color w:val="000000"/>
          <w:kern w:val="0"/>
          <w:sz w:val="28"/>
          <w:szCs w:val="28"/>
        </w:rPr>
        <w:lastRenderedPageBreak/>
        <w:t>通部審議，3月15日交通部鐵道局召開綜</w:t>
      </w:r>
      <w:proofErr w:type="gramStart"/>
      <w:r w:rsidRPr="00ED19FC">
        <w:rPr>
          <w:rFonts w:ascii="標楷體" w:eastAsia="標楷體" w:hAnsi="標楷體"/>
          <w:bCs/>
          <w:color w:val="000000"/>
          <w:kern w:val="0"/>
          <w:sz w:val="28"/>
          <w:szCs w:val="28"/>
        </w:rPr>
        <w:t>規</w:t>
      </w:r>
      <w:proofErr w:type="gramEnd"/>
      <w:r w:rsidRPr="00ED19FC">
        <w:rPr>
          <w:rFonts w:ascii="標楷體" w:eastAsia="標楷體" w:hAnsi="標楷體"/>
          <w:bCs/>
          <w:color w:val="000000"/>
          <w:kern w:val="0"/>
          <w:sz w:val="28"/>
          <w:szCs w:val="28"/>
        </w:rPr>
        <w:t>初審會議，4月6日、6月8日交通部召開捷運計畫審查委員會，會議結論為修正後通過，6月24日提送修正報告至交通部，7月8日綜</w:t>
      </w:r>
      <w:proofErr w:type="gramStart"/>
      <w:r w:rsidRPr="00ED19FC">
        <w:rPr>
          <w:rFonts w:ascii="標楷體" w:eastAsia="標楷體" w:hAnsi="標楷體"/>
          <w:bCs/>
          <w:color w:val="000000"/>
          <w:kern w:val="0"/>
          <w:sz w:val="28"/>
          <w:szCs w:val="28"/>
        </w:rPr>
        <w:t>規</w:t>
      </w:r>
      <w:proofErr w:type="gramEnd"/>
      <w:r w:rsidRPr="00ED19FC">
        <w:rPr>
          <w:rFonts w:ascii="標楷體" w:eastAsia="標楷體" w:hAnsi="標楷體"/>
          <w:bCs/>
          <w:color w:val="000000"/>
          <w:kern w:val="0"/>
          <w:sz w:val="28"/>
          <w:szCs w:val="28"/>
        </w:rPr>
        <w:t>報告交通部核轉行政院，8月3日行政院國發會召開綜</w:t>
      </w:r>
      <w:proofErr w:type="gramStart"/>
      <w:r w:rsidRPr="00ED19FC">
        <w:rPr>
          <w:rFonts w:ascii="標楷體" w:eastAsia="標楷體" w:hAnsi="標楷體"/>
          <w:bCs/>
          <w:color w:val="000000"/>
          <w:kern w:val="0"/>
          <w:sz w:val="28"/>
          <w:szCs w:val="28"/>
        </w:rPr>
        <w:t>規</w:t>
      </w:r>
      <w:proofErr w:type="gramEnd"/>
      <w:r w:rsidRPr="00ED19FC">
        <w:rPr>
          <w:rFonts w:ascii="標楷體" w:eastAsia="標楷體" w:hAnsi="標楷體"/>
          <w:bCs/>
          <w:color w:val="000000"/>
          <w:kern w:val="0"/>
          <w:sz w:val="28"/>
          <w:szCs w:val="28"/>
        </w:rPr>
        <w:t>報告</w:t>
      </w:r>
      <w:proofErr w:type="gramStart"/>
      <w:r w:rsidRPr="00ED19FC">
        <w:rPr>
          <w:rFonts w:ascii="標楷體" w:eastAsia="標楷體" w:hAnsi="標楷體"/>
          <w:bCs/>
          <w:color w:val="000000"/>
          <w:kern w:val="0"/>
          <w:sz w:val="28"/>
          <w:szCs w:val="28"/>
        </w:rPr>
        <w:t>研</w:t>
      </w:r>
      <w:proofErr w:type="gramEnd"/>
      <w:r w:rsidRPr="00ED19FC">
        <w:rPr>
          <w:rFonts w:ascii="標楷體" w:eastAsia="標楷體" w:hAnsi="標楷體"/>
          <w:bCs/>
          <w:color w:val="000000"/>
          <w:kern w:val="0"/>
          <w:sz w:val="28"/>
          <w:szCs w:val="28"/>
        </w:rPr>
        <w:t>商會議，8月22日召開綜</w:t>
      </w:r>
      <w:proofErr w:type="gramStart"/>
      <w:r w:rsidRPr="00ED19FC">
        <w:rPr>
          <w:rFonts w:ascii="標楷體" w:eastAsia="標楷體" w:hAnsi="標楷體"/>
          <w:bCs/>
          <w:color w:val="000000"/>
          <w:kern w:val="0"/>
          <w:sz w:val="28"/>
          <w:szCs w:val="28"/>
        </w:rPr>
        <w:t>規</w:t>
      </w:r>
      <w:proofErr w:type="gramEnd"/>
      <w:r w:rsidRPr="00ED19FC">
        <w:rPr>
          <w:rFonts w:ascii="標楷體" w:eastAsia="標楷體" w:hAnsi="標楷體"/>
          <w:bCs/>
          <w:color w:val="000000"/>
          <w:kern w:val="0"/>
          <w:sz w:val="28"/>
          <w:szCs w:val="28"/>
        </w:rPr>
        <w:t>報告委員會議，9月23日行政院核定本案綜</w:t>
      </w:r>
      <w:proofErr w:type="gramStart"/>
      <w:r w:rsidRPr="00ED19FC">
        <w:rPr>
          <w:rFonts w:ascii="標楷體" w:eastAsia="標楷體" w:hAnsi="標楷體"/>
          <w:bCs/>
          <w:color w:val="000000"/>
          <w:kern w:val="0"/>
          <w:sz w:val="28"/>
          <w:szCs w:val="28"/>
        </w:rPr>
        <w:t>規</w:t>
      </w:r>
      <w:proofErr w:type="gramEnd"/>
      <w:r w:rsidRPr="00ED19FC">
        <w:rPr>
          <w:rFonts w:ascii="標楷體" w:eastAsia="標楷體" w:hAnsi="標楷體"/>
          <w:bCs/>
          <w:color w:val="000000"/>
          <w:kern w:val="0"/>
          <w:sz w:val="28"/>
          <w:szCs w:val="28"/>
        </w:rPr>
        <w:t>報告。</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（三）基本設計委託服務案</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小港林園線串聯小港、林園生活圈，未來並可連結屏東大鵬灣。為落實照顧林園區鄉親，本府動用第二預備金支應小港林園線可行性研究經費，可行性研究報告經多次提報交通部審議，已於110年6月18日核轉行政院，110年12月17日獲行政院核定。另綜合規劃報告業經行政院111年9月23日核定，本府於9月26日函送基本設計階段審議資料予交通部審查後轉請工程會審議，交通部已於12月9日函轉行政院公共工程委員會辦理審議作業，行政院公共工程委員會於112年1月4日舉辦基本設計現</w:t>
      </w:r>
      <w:proofErr w:type="gramStart"/>
      <w:r w:rsidRPr="00ED19FC">
        <w:rPr>
          <w:rFonts w:ascii="標楷體" w:eastAsia="標楷體" w:hAnsi="標楷體"/>
          <w:bCs/>
          <w:color w:val="000000"/>
          <w:kern w:val="0"/>
          <w:sz w:val="28"/>
          <w:szCs w:val="28"/>
        </w:rPr>
        <w:t>勘</w:t>
      </w:r>
      <w:proofErr w:type="gramEnd"/>
      <w:r w:rsidRPr="00ED19FC">
        <w:rPr>
          <w:rFonts w:ascii="標楷體" w:eastAsia="標楷體" w:hAnsi="標楷體"/>
          <w:bCs/>
          <w:color w:val="000000"/>
          <w:kern w:val="0"/>
          <w:sz w:val="28"/>
          <w:szCs w:val="28"/>
        </w:rPr>
        <w:t>及審議會議。</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為加速計畫推動，同步啟動招標作業，目前高雄都會區大眾捷運系統小港林園線RLC01</w:t>
      </w:r>
      <w:proofErr w:type="gramStart"/>
      <w:r w:rsidRPr="00ED19FC">
        <w:rPr>
          <w:rFonts w:ascii="標楷體" w:eastAsia="標楷體" w:hAnsi="標楷體"/>
          <w:bCs/>
          <w:color w:val="000000"/>
          <w:kern w:val="0"/>
          <w:sz w:val="28"/>
          <w:szCs w:val="28"/>
        </w:rPr>
        <w:t>標土建統</w:t>
      </w:r>
      <w:proofErr w:type="gramEnd"/>
      <w:r w:rsidRPr="00ED19FC">
        <w:rPr>
          <w:rFonts w:ascii="標楷體" w:eastAsia="標楷體" w:hAnsi="標楷體"/>
          <w:bCs/>
          <w:color w:val="000000"/>
          <w:kern w:val="0"/>
          <w:sz w:val="28"/>
          <w:szCs w:val="28"/>
        </w:rPr>
        <w:t>包工程及RLT01標軌道統包工程已於111年12月13日開標，開標結果如下：</w:t>
      </w:r>
    </w:p>
    <w:p w:rsidR="00B14CBD" w:rsidRPr="00ED19FC" w:rsidRDefault="00ED19FC" w:rsidP="00ED19FC">
      <w:pPr>
        <w:widowControl/>
        <w:numPr>
          <w:ilvl w:val="0"/>
          <w:numId w:val="2"/>
        </w:numPr>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RLC01</w:t>
      </w:r>
      <w:proofErr w:type="gramStart"/>
      <w:r w:rsidRPr="00ED19FC">
        <w:rPr>
          <w:rFonts w:ascii="標楷體" w:eastAsia="標楷體" w:hAnsi="標楷體"/>
          <w:bCs/>
          <w:color w:val="000000"/>
          <w:kern w:val="0"/>
          <w:sz w:val="28"/>
          <w:szCs w:val="28"/>
        </w:rPr>
        <w:t>標無廠商</w:t>
      </w:r>
      <w:proofErr w:type="gramEnd"/>
      <w:r w:rsidRPr="00ED19FC">
        <w:rPr>
          <w:rFonts w:ascii="標楷體" w:eastAsia="標楷體" w:hAnsi="標楷體"/>
          <w:bCs/>
          <w:color w:val="000000"/>
          <w:kern w:val="0"/>
          <w:sz w:val="28"/>
          <w:szCs w:val="28"/>
        </w:rPr>
        <w:t>投標，將持續檢討招標文件另行公告。</w:t>
      </w:r>
    </w:p>
    <w:p w:rsidR="00B14CBD" w:rsidRPr="00ED19FC" w:rsidRDefault="00ED19FC" w:rsidP="00ED19FC">
      <w:pPr>
        <w:widowControl/>
        <w:numPr>
          <w:ilvl w:val="0"/>
          <w:numId w:val="2"/>
        </w:numPr>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RLT01標共計3家廠商投標均符合資格，112年1月5日評選。</w:t>
      </w:r>
    </w:p>
    <w:p w:rsidR="00B14CBD" w:rsidRPr="00ED19FC" w:rsidRDefault="00ED19FC" w:rsidP="00ED19FC">
      <w:pPr>
        <w:widowControl/>
        <w:numPr>
          <w:ilvl w:val="0"/>
          <w:numId w:val="2"/>
        </w:numPr>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RLM01標機電系統（含能源調度中心）統包工程於111年12月29日開標，由新加坡科技電子有限公司與</w:t>
      </w:r>
      <w:proofErr w:type="gramStart"/>
      <w:r w:rsidRPr="00ED19FC">
        <w:rPr>
          <w:rFonts w:ascii="標楷體" w:eastAsia="標楷體" w:hAnsi="標楷體"/>
          <w:bCs/>
          <w:color w:val="000000"/>
          <w:kern w:val="0"/>
          <w:sz w:val="28"/>
          <w:szCs w:val="28"/>
        </w:rPr>
        <w:t>現代樂鐵有限公司</w:t>
      </w:r>
      <w:proofErr w:type="gramEnd"/>
      <w:r w:rsidRPr="00ED19FC">
        <w:rPr>
          <w:rFonts w:ascii="標楷體" w:eastAsia="標楷體" w:hAnsi="標楷體"/>
          <w:bCs/>
          <w:color w:val="000000"/>
          <w:kern w:val="0"/>
          <w:sz w:val="28"/>
          <w:szCs w:val="28"/>
        </w:rPr>
        <w:t>共同投標，審標結果符合資格審查，預定112年1月16日進行評選會議。</w:t>
      </w:r>
    </w:p>
    <w:p w:rsidR="00B14CBD" w:rsidRDefault="00B14CBD">
      <w:pPr>
        <w:pStyle w:val="01"/>
        <w:spacing w:line="390" w:lineRule="exact"/>
        <w:ind w:left="1276" w:firstLine="0"/>
        <w:textAlignment w:val="auto"/>
        <w:rPr>
          <w:color w:val="000000"/>
          <w:sz w:val="28"/>
          <w:szCs w:val="28"/>
        </w:rPr>
      </w:pPr>
    </w:p>
    <w:p w:rsidR="00B14CBD" w:rsidRPr="00ED19FC" w:rsidRDefault="00ED19FC" w:rsidP="00ED19FC">
      <w:pPr>
        <w:pStyle w:val="ab"/>
        <w:widowControl/>
        <w:overflowPunct w:val="0"/>
        <w:snapToGrid w:val="0"/>
        <w:spacing w:line="320" w:lineRule="exact"/>
        <w:jc w:val="both"/>
        <w:rPr>
          <w:rFonts w:ascii="微軟正黑體" w:eastAsia="微軟正黑體" w:hAnsi="微軟正黑體" w:cs="?????(P)"/>
          <w:b/>
          <w:bCs/>
          <w:kern w:val="0"/>
          <w:sz w:val="30"/>
          <w:szCs w:val="30"/>
        </w:rPr>
      </w:pPr>
      <w:r w:rsidRPr="00ED19FC">
        <w:rPr>
          <w:rFonts w:ascii="微軟正黑體" w:eastAsia="微軟正黑體" w:hAnsi="微軟正黑體" w:cs="?????(P)"/>
          <w:b/>
          <w:bCs/>
          <w:kern w:val="0"/>
          <w:sz w:val="30"/>
          <w:szCs w:val="30"/>
        </w:rPr>
        <w:t>五、紅</w:t>
      </w:r>
      <w:proofErr w:type="gramStart"/>
      <w:r w:rsidRPr="00ED19FC">
        <w:rPr>
          <w:rFonts w:ascii="微軟正黑體" w:eastAsia="微軟正黑體" w:hAnsi="微軟正黑體" w:cs="?????(P)"/>
          <w:b/>
          <w:bCs/>
          <w:kern w:val="0"/>
          <w:sz w:val="30"/>
          <w:szCs w:val="30"/>
        </w:rPr>
        <w:t>橘</w:t>
      </w:r>
      <w:proofErr w:type="gramEnd"/>
      <w:r w:rsidRPr="00ED19FC">
        <w:rPr>
          <w:rFonts w:ascii="微軟正黑體" w:eastAsia="微軟正黑體" w:hAnsi="微軟正黑體" w:cs="?????(P)"/>
          <w:b/>
          <w:bCs/>
          <w:kern w:val="0"/>
          <w:sz w:val="30"/>
          <w:szCs w:val="30"/>
        </w:rPr>
        <w:t>線路網建設計畫</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（一）R11高雄車站永久站工程</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捷運紅線R11共構車站位於高雄火車站，規劃與鐵路地下化高雄車站共構。先行設置之R11臨時車站已於97年通車營運，R11永久站則配合市區鐵路地下化(高雄計畫)</w:t>
      </w:r>
      <w:proofErr w:type="gramStart"/>
      <w:r w:rsidRPr="00ED19FC">
        <w:rPr>
          <w:rFonts w:ascii="標楷體" w:eastAsia="標楷體" w:hAnsi="標楷體"/>
          <w:bCs/>
          <w:color w:val="000000"/>
          <w:kern w:val="0"/>
          <w:sz w:val="28"/>
          <w:szCs w:val="28"/>
        </w:rPr>
        <w:t>時程施築</w:t>
      </w:r>
      <w:proofErr w:type="gramEnd"/>
      <w:r w:rsidRPr="00ED19FC">
        <w:rPr>
          <w:rFonts w:ascii="標楷體" w:eastAsia="標楷體" w:hAnsi="標楷體"/>
          <w:bCs/>
          <w:color w:val="000000"/>
          <w:kern w:val="0"/>
          <w:sz w:val="28"/>
          <w:szCs w:val="28"/>
        </w:rPr>
        <w:t>。車站結構體由交通部鐵道局代辦，建築裝修、水環及機電系統則由本府捷運局辦理。</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R11永久車站建築裝修、水環及機電系統工程部分，依照鐵路地下化進程，分二階段興建，第一階段切換永久軌道工程於104年4月完工，第二階段工程於105年7月進場。R11永久車站初期營運範圍工項已全數完成，107年9月5日開始營運；</w:t>
      </w:r>
      <w:proofErr w:type="gramStart"/>
      <w:r w:rsidRPr="00ED19FC">
        <w:rPr>
          <w:rFonts w:ascii="標楷體" w:eastAsia="標楷體" w:hAnsi="標楷體"/>
          <w:bCs/>
          <w:color w:val="000000"/>
          <w:kern w:val="0"/>
          <w:sz w:val="28"/>
          <w:szCs w:val="28"/>
        </w:rPr>
        <w:t>110</w:t>
      </w:r>
      <w:proofErr w:type="gramEnd"/>
      <w:r w:rsidRPr="00ED19FC">
        <w:rPr>
          <w:rFonts w:ascii="標楷體" w:eastAsia="標楷體" w:hAnsi="標楷體"/>
          <w:bCs/>
          <w:color w:val="000000"/>
          <w:kern w:val="0"/>
          <w:sz w:val="28"/>
          <w:szCs w:val="28"/>
        </w:rPr>
        <w:t>年度持續進行第二階段工程，辦理台鐵下地後R11永久車站工程，截至111年12月底，R11永久站Z景觀結構(RC)、北站區</w:t>
      </w:r>
      <w:proofErr w:type="gramStart"/>
      <w:r w:rsidRPr="00ED19FC">
        <w:rPr>
          <w:rFonts w:ascii="標楷體" w:eastAsia="標楷體" w:hAnsi="標楷體"/>
          <w:bCs/>
          <w:color w:val="000000"/>
          <w:kern w:val="0"/>
          <w:sz w:val="28"/>
          <w:szCs w:val="28"/>
        </w:rPr>
        <w:t>墊層澆置</w:t>
      </w:r>
      <w:proofErr w:type="gramEnd"/>
      <w:r w:rsidRPr="00ED19FC">
        <w:rPr>
          <w:rFonts w:ascii="標楷體" w:eastAsia="標楷體" w:hAnsi="標楷體"/>
          <w:bCs/>
          <w:color w:val="000000"/>
          <w:kern w:val="0"/>
          <w:sz w:val="28"/>
          <w:szCs w:val="28"/>
        </w:rPr>
        <w:t>完成、建築裝修非公共區達75%完成。機電系統部分R11永久車站水環工程永久冷卻水塔細設、捷運全站區消防圖說審查已核定，新設永久冷卻水塔工程設備單體測試完畢(U4及U2層)、新設永久冷卻水塔工程設備單體測試完畢(台鐵RF層)、臨時冷卻水塔工程設備拆除。</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lastRenderedPageBreak/>
        <w:t>配合高雄鐵路地下化工程</w:t>
      </w:r>
      <w:proofErr w:type="gramStart"/>
      <w:r w:rsidRPr="00ED19FC">
        <w:rPr>
          <w:rFonts w:ascii="標楷體" w:eastAsia="標楷體" w:hAnsi="標楷體"/>
          <w:bCs/>
          <w:color w:val="000000"/>
          <w:kern w:val="0"/>
          <w:sz w:val="28"/>
          <w:szCs w:val="28"/>
        </w:rPr>
        <w:t>臺鐵新</w:t>
      </w:r>
      <w:proofErr w:type="gramEnd"/>
      <w:r w:rsidRPr="00ED19FC">
        <w:rPr>
          <w:rFonts w:ascii="標楷體" w:eastAsia="標楷體" w:hAnsi="標楷體"/>
          <w:bCs/>
          <w:color w:val="000000"/>
          <w:kern w:val="0"/>
          <w:sz w:val="28"/>
          <w:szCs w:val="28"/>
        </w:rPr>
        <w:t>高雄車站第二階段工程，已於108年1月完成R11臨時車站出入口交付前置作業，目前已完成捷運R11後站第一階段G+1層樓板、第三階段G+1層樓板、第五及第六階段G+</w:t>
      </w:r>
      <w:proofErr w:type="gramStart"/>
      <w:r w:rsidRPr="00ED19FC">
        <w:rPr>
          <w:rFonts w:ascii="標楷體" w:eastAsia="標楷體" w:hAnsi="標楷體"/>
          <w:bCs/>
          <w:color w:val="000000"/>
          <w:kern w:val="0"/>
          <w:sz w:val="28"/>
          <w:szCs w:val="28"/>
        </w:rPr>
        <w:t>1層樓版</w:t>
      </w:r>
      <w:proofErr w:type="gramEnd"/>
      <w:r w:rsidRPr="00ED19FC">
        <w:rPr>
          <w:rFonts w:ascii="標楷體" w:eastAsia="標楷體" w:hAnsi="標楷體"/>
          <w:bCs/>
          <w:color w:val="000000"/>
          <w:kern w:val="0"/>
          <w:sz w:val="28"/>
          <w:szCs w:val="28"/>
        </w:rPr>
        <w:t>、6區U3層</w:t>
      </w:r>
      <w:proofErr w:type="gramStart"/>
      <w:r w:rsidRPr="00ED19FC">
        <w:rPr>
          <w:rFonts w:ascii="標楷體" w:eastAsia="標楷體" w:hAnsi="標楷體"/>
          <w:bCs/>
          <w:color w:val="000000"/>
          <w:kern w:val="0"/>
          <w:sz w:val="28"/>
          <w:szCs w:val="28"/>
        </w:rPr>
        <w:t>暫撐牆</w:t>
      </w:r>
      <w:proofErr w:type="gramEnd"/>
      <w:r w:rsidRPr="00ED19FC">
        <w:rPr>
          <w:rFonts w:ascii="標楷體" w:eastAsia="標楷體" w:hAnsi="標楷體"/>
          <w:bCs/>
          <w:color w:val="000000"/>
          <w:kern w:val="0"/>
          <w:sz w:val="28"/>
          <w:szCs w:val="28"/>
        </w:rPr>
        <w:t>切割，後續並配合</w:t>
      </w:r>
      <w:proofErr w:type="gramStart"/>
      <w:r w:rsidRPr="00ED19FC">
        <w:rPr>
          <w:rFonts w:ascii="標楷體" w:eastAsia="標楷體" w:hAnsi="標楷體"/>
          <w:bCs/>
          <w:color w:val="000000"/>
          <w:kern w:val="0"/>
          <w:sz w:val="28"/>
          <w:szCs w:val="28"/>
        </w:rPr>
        <w:t>臺</w:t>
      </w:r>
      <w:proofErr w:type="gramEnd"/>
      <w:r w:rsidRPr="00ED19FC">
        <w:rPr>
          <w:rFonts w:ascii="標楷體" w:eastAsia="標楷體" w:hAnsi="標楷體"/>
          <w:bCs/>
          <w:color w:val="000000"/>
          <w:kern w:val="0"/>
          <w:sz w:val="28"/>
          <w:szCs w:val="28"/>
        </w:rPr>
        <w:t>鐵下地時程賡續辦理R11永久站與鐵路地下化介面工程作業相關工項，以完成整體計畫事項，捷運紅線R11永久站預計完成期程114年10月底完成。</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（二）監督高雄捷運公司財務作業</w:t>
      </w:r>
    </w:p>
    <w:p w:rsidR="00B14CBD"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proofErr w:type="gramStart"/>
      <w:r w:rsidRPr="00ED19FC">
        <w:rPr>
          <w:rFonts w:ascii="標楷體" w:eastAsia="標楷體" w:hAnsi="標楷體"/>
          <w:bCs/>
          <w:color w:val="000000"/>
          <w:kern w:val="0"/>
          <w:sz w:val="28"/>
          <w:szCs w:val="28"/>
        </w:rPr>
        <w:t>遴</w:t>
      </w:r>
      <w:proofErr w:type="gramEnd"/>
      <w:r w:rsidRPr="00ED19FC">
        <w:rPr>
          <w:rFonts w:ascii="標楷體" w:eastAsia="標楷體" w:hAnsi="標楷體"/>
          <w:bCs/>
          <w:color w:val="000000"/>
          <w:kern w:val="0"/>
          <w:sz w:val="28"/>
          <w:szCs w:val="28"/>
        </w:rPr>
        <w:t>聘財務顧問安永聯合會計師事務所協助辦理財務監督及檢查，檢視高雄捷運公司之財務報表及各財務事項是否符合興建營運合約及相關財會法規之規定，以及時掌握其財務狀況，除執行每季及年度之財務報表分析複核外，截至目前已進行23次定期及1次不定期財務檢查。</w:t>
      </w:r>
    </w:p>
    <w:p w:rsidR="00ED19FC"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p>
    <w:p w:rsidR="00B14CBD" w:rsidRPr="00ED19FC" w:rsidRDefault="00ED19FC" w:rsidP="00ED19FC">
      <w:pPr>
        <w:pStyle w:val="ab"/>
        <w:widowControl/>
        <w:overflowPunct w:val="0"/>
        <w:snapToGrid w:val="0"/>
        <w:spacing w:line="320" w:lineRule="exact"/>
        <w:jc w:val="both"/>
        <w:rPr>
          <w:rFonts w:ascii="微軟正黑體" w:eastAsia="微軟正黑體" w:hAnsi="微軟正黑體" w:cs="?????(P)"/>
          <w:b/>
          <w:bCs/>
          <w:kern w:val="0"/>
          <w:sz w:val="30"/>
          <w:szCs w:val="30"/>
        </w:rPr>
      </w:pPr>
      <w:r w:rsidRPr="00ED19FC">
        <w:rPr>
          <w:rFonts w:ascii="微軟正黑體" w:eastAsia="微軟正黑體" w:hAnsi="微軟正黑體" w:cs="?????(P)"/>
          <w:b/>
          <w:bCs/>
          <w:kern w:val="0"/>
          <w:sz w:val="30"/>
          <w:szCs w:val="30"/>
        </w:rPr>
        <w:t>六、高雄市大眾捷運系統土地開發基金</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（一）捷運土地開發基金運作</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為籌措環狀輕軌及未來捷運路線建設經費，本府制訂「高雄市大眾捷運系統土地開發基金收支管理及運用自治條例」，並設置「高雄市大眾捷運系統土地開發基金」，其主要財源包括土地開發、租稅增額、增額容積等收益，主要用途為支應本府應負擔之捷運建設經費，如年度基金收入不足以支應當年經費需求時，則以融資方式籌措；並將以市有地作價投資本基金，透過基金運作，進行土地開發，以所產生收益來</w:t>
      </w:r>
      <w:proofErr w:type="gramStart"/>
      <w:r w:rsidRPr="00ED19FC">
        <w:rPr>
          <w:rFonts w:ascii="標楷體" w:eastAsia="標楷體" w:hAnsi="標楷體"/>
          <w:bCs/>
          <w:color w:val="000000"/>
          <w:kern w:val="0"/>
          <w:sz w:val="28"/>
          <w:szCs w:val="28"/>
        </w:rPr>
        <w:t>挹</w:t>
      </w:r>
      <w:proofErr w:type="gramEnd"/>
      <w:r w:rsidRPr="00ED19FC">
        <w:rPr>
          <w:rFonts w:ascii="標楷體" w:eastAsia="標楷體" w:hAnsi="標楷體"/>
          <w:bCs/>
          <w:color w:val="000000"/>
          <w:kern w:val="0"/>
          <w:sz w:val="28"/>
          <w:szCs w:val="28"/>
        </w:rPr>
        <w:t>注捷運建設。</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至111年12月底，本府作價投資土開基金之土地共69筆地號，面積8萬7,321.9平方公尺，作價金額32億9,125萬8,925元，充作基金資產，辦理開發。</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配合紅</w:t>
      </w:r>
      <w:proofErr w:type="gramStart"/>
      <w:r w:rsidRPr="00ED19FC">
        <w:rPr>
          <w:rFonts w:ascii="標楷體" w:eastAsia="標楷體" w:hAnsi="標楷體"/>
          <w:bCs/>
          <w:color w:val="000000"/>
          <w:kern w:val="0"/>
          <w:sz w:val="28"/>
          <w:szCs w:val="28"/>
        </w:rPr>
        <w:t>橘</w:t>
      </w:r>
      <w:proofErr w:type="gramEnd"/>
      <w:r w:rsidRPr="00ED19FC">
        <w:rPr>
          <w:rFonts w:ascii="標楷體" w:eastAsia="標楷體" w:hAnsi="標楷體"/>
          <w:bCs/>
          <w:color w:val="000000"/>
          <w:kern w:val="0"/>
          <w:sz w:val="28"/>
          <w:szCs w:val="28"/>
        </w:rPr>
        <w:t>線路網建設興建營運合約修約案，除提前移轉高雄捷運公司機電資產外，並移撥紅</w:t>
      </w:r>
      <w:proofErr w:type="gramStart"/>
      <w:r w:rsidRPr="00ED19FC">
        <w:rPr>
          <w:rFonts w:ascii="標楷體" w:eastAsia="標楷體" w:hAnsi="標楷體"/>
          <w:bCs/>
          <w:color w:val="000000"/>
          <w:kern w:val="0"/>
          <w:sz w:val="28"/>
          <w:szCs w:val="28"/>
        </w:rPr>
        <w:t>橘</w:t>
      </w:r>
      <w:proofErr w:type="gramEnd"/>
      <w:r w:rsidRPr="00ED19FC">
        <w:rPr>
          <w:rFonts w:ascii="標楷體" w:eastAsia="標楷體" w:hAnsi="標楷體"/>
          <w:bCs/>
          <w:color w:val="000000"/>
          <w:kern w:val="0"/>
          <w:sz w:val="28"/>
          <w:szCs w:val="28"/>
        </w:rPr>
        <w:t>線開發用地共46筆，面積合計38萬9,562平方公尺，總價值計60億8,016萬1,879元，後續捷運公司所繳納營運回饋金、土地租金、超額開發利益分享等</w:t>
      </w:r>
      <w:proofErr w:type="gramStart"/>
      <w:r w:rsidRPr="00ED19FC">
        <w:rPr>
          <w:rFonts w:ascii="標楷體" w:eastAsia="標楷體" w:hAnsi="標楷體"/>
          <w:bCs/>
          <w:color w:val="000000"/>
          <w:kern w:val="0"/>
          <w:sz w:val="28"/>
          <w:szCs w:val="28"/>
        </w:rPr>
        <w:t>收入均屬本土</w:t>
      </w:r>
      <w:proofErr w:type="gramEnd"/>
      <w:r w:rsidRPr="00ED19FC">
        <w:rPr>
          <w:rFonts w:ascii="標楷體" w:eastAsia="標楷體" w:hAnsi="標楷體"/>
          <w:bCs/>
          <w:color w:val="000000"/>
          <w:kern w:val="0"/>
          <w:sz w:val="28"/>
          <w:szCs w:val="28"/>
        </w:rPr>
        <w:t>開基金財源。</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輕軌車站增額容積截至111年12月底，總計受理申請案76件，核發60件增額容積許可證明，累計至今已為土開基金帶來約29.43億元收入。</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（二）土地開發業務推動</w:t>
      </w:r>
    </w:p>
    <w:p w:rsidR="00B14CBD" w:rsidRPr="00ED19FC" w:rsidRDefault="00ED19FC" w:rsidP="00ED19FC">
      <w:pPr>
        <w:widowControl/>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1.北機廠高</w:t>
      </w:r>
      <w:proofErr w:type="gramStart"/>
      <w:r w:rsidRPr="00ED19FC">
        <w:rPr>
          <w:rFonts w:ascii="標楷體" w:eastAsia="標楷體" w:hAnsi="標楷體"/>
          <w:bCs/>
          <w:color w:val="000000"/>
          <w:kern w:val="0"/>
          <w:sz w:val="28"/>
          <w:szCs w:val="28"/>
        </w:rPr>
        <w:t>醫</w:t>
      </w:r>
      <w:proofErr w:type="gramEnd"/>
      <w:r w:rsidRPr="00ED19FC">
        <w:rPr>
          <w:rFonts w:ascii="標楷體" w:eastAsia="標楷體" w:hAnsi="標楷體"/>
          <w:bCs/>
          <w:color w:val="000000"/>
          <w:kern w:val="0"/>
          <w:sz w:val="28"/>
          <w:szCs w:val="28"/>
        </w:rPr>
        <w:t>附設岡山醫院</w:t>
      </w:r>
    </w:p>
    <w:p w:rsidR="00B14CBD" w:rsidRPr="00ED19FC" w:rsidRDefault="00ED19FC" w:rsidP="00ED19FC">
      <w:pPr>
        <w:widowControl/>
        <w:overflowPunct w:val="0"/>
        <w:snapToGrid w:val="0"/>
        <w:spacing w:line="320" w:lineRule="exact"/>
        <w:ind w:left="170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開發面積約為3.2公頃，於111年7月13日辦理上梁典禮，預計112年5月辦理試營運。</w:t>
      </w:r>
    </w:p>
    <w:p w:rsidR="00B14CBD" w:rsidRPr="00ED19FC" w:rsidRDefault="00ED19FC" w:rsidP="00ED19FC">
      <w:pPr>
        <w:widowControl/>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2.北機廠合溫馨</w:t>
      </w:r>
    </w:p>
    <w:p w:rsidR="00B14CBD" w:rsidRPr="00ED19FC" w:rsidRDefault="00ED19FC" w:rsidP="00ED19FC">
      <w:pPr>
        <w:widowControl/>
        <w:overflowPunct w:val="0"/>
        <w:snapToGrid w:val="0"/>
        <w:spacing w:line="320" w:lineRule="exact"/>
        <w:ind w:left="170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 xml:space="preserve">開發面積約5,214平方公尺，於109年9月起營運。 </w:t>
      </w:r>
    </w:p>
    <w:p w:rsidR="00B14CBD" w:rsidRPr="00ED19FC" w:rsidRDefault="00ED19FC" w:rsidP="00ED19FC">
      <w:pPr>
        <w:widowControl/>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3.北機廠達麗米樂商場</w:t>
      </w:r>
    </w:p>
    <w:p w:rsidR="00B14CBD" w:rsidRPr="00ED19FC" w:rsidRDefault="00ED19FC" w:rsidP="00ED19FC">
      <w:pPr>
        <w:widowControl/>
        <w:overflowPunct w:val="0"/>
        <w:snapToGrid w:val="0"/>
        <w:spacing w:line="320" w:lineRule="exact"/>
        <w:ind w:left="170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開發面積約4.2公頃，</w:t>
      </w:r>
      <w:proofErr w:type="gramStart"/>
      <w:r w:rsidRPr="00ED19FC">
        <w:rPr>
          <w:rFonts w:ascii="標楷體" w:eastAsia="標楷體" w:hAnsi="標楷體"/>
          <w:bCs/>
          <w:color w:val="000000"/>
          <w:kern w:val="0"/>
          <w:sz w:val="28"/>
          <w:szCs w:val="28"/>
        </w:rPr>
        <w:t>岡山樂購廣場</w:t>
      </w:r>
      <w:proofErr w:type="gramEnd"/>
      <w:r w:rsidRPr="00ED19FC">
        <w:rPr>
          <w:rFonts w:ascii="標楷體" w:eastAsia="標楷體" w:hAnsi="標楷體"/>
          <w:bCs/>
          <w:color w:val="000000"/>
          <w:kern w:val="0"/>
          <w:sz w:val="28"/>
          <w:szCs w:val="28"/>
        </w:rPr>
        <w:t>已於111年6月23日開幕營運。</w:t>
      </w:r>
    </w:p>
    <w:p w:rsidR="00B14CBD" w:rsidRPr="00ED19FC" w:rsidRDefault="00ED19FC" w:rsidP="00ED19FC">
      <w:pPr>
        <w:widowControl/>
        <w:overflowPunct w:val="0"/>
        <w:snapToGrid w:val="0"/>
        <w:spacing w:line="320" w:lineRule="exact"/>
        <w:ind w:left="1645" w:hanging="28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lastRenderedPageBreak/>
        <w:t>4.</w:t>
      </w:r>
      <w:proofErr w:type="gramStart"/>
      <w:r w:rsidRPr="00ED19FC">
        <w:rPr>
          <w:rFonts w:ascii="標楷體" w:eastAsia="標楷體" w:hAnsi="標楷體"/>
          <w:bCs/>
          <w:color w:val="000000"/>
          <w:kern w:val="0"/>
          <w:sz w:val="28"/>
          <w:szCs w:val="28"/>
        </w:rPr>
        <w:t>橘</w:t>
      </w:r>
      <w:proofErr w:type="gramEnd"/>
      <w:r w:rsidRPr="00ED19FC">
        <w:rPr>
          <w:rFonts w:ascii="標楷體" w:eastAsia="標楷體" w:hAnsi="標楷體"/>
          <w:bCs/>
          <w:color w:val="000000"/>
          <w:kern w:val="0"/>
          <w:sz w:val="28"/>
          <w:szCs w:val="28"/>
        </w:rPr>
        <w:t>線O4站土地開發：110年6月21日召開開發建議書評選會議，經簽報市府核定最優申請</w:t>
      </w:r>
      <w:proofErr w:type="gramStart"/>
      <w:r w:rsidRPr="00ED19FC">
        <w:rPr>
          <w:rFonts w:ascii="標楷體" w:eastAsia="標楷體" w:hAnsi="標楷體"/>
          <w:bCs/>
          <w:color w:val="000000"/>
          <w:kern w:val="0"/>
          <w:sz w:val="28"/>
          <w:szCs w:val="28"/>
        </w:rPr>
        <w:t>人為名軒開發</w:t>
      </w:r>
      <w:proofErr w:type="gramEnd"/>
      <w:r w:rsidRPr="00ED19FC">
        <w:rPr>
          <w:rFonts w:ascii="標楷體" w:eastAsia="標楷體" w:hAnsi="標楷體"/>
          <w:bCs/>
          <w:color w:val="000000"/>
          <w:kern w:val="0"/>
          <w:sz w:val="28"/>
          <w:szCs w:val="28"/>
        </w:rPr>
        <w:t>股份有限公司業於110年8月27日完成簽約程序，111年3月11日開工動土，未來預計可為捷運土開基金帶來27.88億元效益。</w:t>
      </w:r>
    </w:p>
    <w:p w:rsidR="00B14CBD" w:rsidRDefault="00B14CBD">
      <w:pPr>
        <w:snapToGrid w:val="0"/>
        <w:spacing w:line="320" w:lineRule="exact"/>
        <w:ind w:left="1243" w:hanging="252"/>
        <w:jc w:val="both"/>
        <w:rPr>
          <w:rFonts w:ascii="標楷體" w:eastAsia="標楷體" w:hAnsi="標楷體"/>
          <w:color w:val="000000"/>
          <w:sz w:val="28"/>
          <w:szCs w:val="28"/>
        </w:rPr>
      </w:pPr>
    </w:p>
    <w:p w:rsidR="00B14CBD" w:rsidRPr="00ED19FC" w:rsidRDefault="00ED19FC" w:rsidP="00ED19FC">
      <w:pPr>
        <w:pStyle w:val="ab"/>
        <w:widowControl/>
        <w:overflowPunct w:val="0"/>
        <w:snapToGrid w:val="0"/>
        <w:spacing w:line="320" w:lineRule="exact"/>
        <w:jc w:val="both"/>
        <w:rPr>
          <w:rFonts w:ascii="微軟正黑體" w:eastAsia="微軟正黑體" w:hAnsi="微軟正黑體" w:cs="?????(P)"/>
          <w:b/>
          <w:bCs/>
          <w:kern w:val="0"/>
          <w:sz w:val="30"/>
          <w:szCs w:val="30"/>
        </w:rPr>
      </w:pPr>
      <w:r w:rsidRPr="00ED19FC">
        <w:rPr>
          <w:rFonts w:ascii="微軟正黑體" w:eastAsia="微軟正黑體" w:hAnsi="微軟正黑體" w:cs="?????(P)"/>
          <w:b/>
          <w:bCs/>
          <w:kern w:val="0"/>
          <w:sz w:val="30"/>
          <w:szCs w:val="30"/>
        </w:rPr>
        <w:t>七、長期路網規劃作業</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（一）高雄捷運延伸屏東規劃</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前瞻基礎建設將高雄捷運延伸屏東可行性研究、綜合規劃及環評作業納入，案經本府與屏東縣政府展開多次會議協商，決議</w:t>
      </w:r>
      <w:proofErr w:type="gramStart"/>
      <w:r w:rsidRPr="00ED19FC">
        <w:rPr>
          <w:rFonts w:ascii="標楷體" w:eastAsia="標楷體" w:hAnsi="標楷體"/>
          <w:bCs/>
          <w:color w:val="000000"/>
          <w:kern w:val="0"/>
          <w:sz w:val="28"/>
          <w:szCs w:val="28"/>
        </w:rPr>
        <w:t>採</w:t>
      </w:r>
      <w:proofErr w:type="gramEnd"/>
      <w:r w:rsidRPr="00ED19FC">
        <w:rPr>
          <w:rFonts w:ascii="標楷體" w:eastAsia="標楷體" w:hAnsi="標楷體"/>
          <w:bCs/>
          <w:color w:val="000000"/>
          <w:kern w:val="0"/>
          <w:sz w:val="28"/>
          <w:szCs w:val="28"/>
        </w:rPr>
        <w:t>一次發包、整體路網、可行性研究、綜</w:t>
      </w:r>
      <w:proofErr w:type="gramStart"/>
      <w:r w:rsidRPr="00ED19FC">
        <w:rPr>
          <w:rFonts w:ascii="標楷體" w:eastAsia="標楷體" w:hAnsi="標楷體"/>
          <w:bCs/>
          <w:color w:val="000000"/>
          <w:kern w:val="0"/>
          <w:sz w:val="28"/>
          <w:szCs w:val="28"/>
        </w:rPr>
        <w:t>規</w:t>
      </w:r>
      <w:proofErr w:type="gramEnd"/>
      <w:r w:rsidRPr="00ED19FC">
        <w:rPr>
          <w:rFonts w:ascii="標楷體" w:eastAsia="標楷體" w:hAnsi="標楷體"/>
          <w:bCs/>
          <w:color w:val="000000"/>
          <w:kern w:val="0"/>
          <w:sz w:val="28"/>
          <w:szCs w:val="28"/>
        </w:rPr>
        <w:t>環評分階段執行方式辦理，並由本府辦理委託技術服務招標作業及督導顧問公司履約，屏東縣政府則負責整體路網期中報告、期末報告審查及最優先路線選擇等工作。本案於107年11月7日完成簽約，整體路網評估報告由屏東縣政府於109年1月22日函送交通部審議。歷經多次審查修正，屏東縣政府於110年1月22日函送鐵道局。交通部鐵道局於4月29日函覆審查意見，台灣世曦顧問公司已完成修正，並於5月31日由屏東縣政府函送鐵道局請協助備查。</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本案可行性研究於109年11月20日函知</w:t>
      </w:r>
      <w:proofErr w:type="gramStart"/>
      <w:r w:rsidRPr="00ED19FC">
        <w:rPr>
          <w:rFonts w:ascii="標楷體" w:eastAsia="標楷體" w:hAnsi="標楷體"/>
          <w:bCs/>
          <w:color w:val="000000"/>
          <w:kern w:val="0"/>
          <w:sz w:val="28"/>
          <w:szCs w:val="28"/>
        </w:rPr>
        <w:t>世</w:t>
      </w:r>
      <w:proofErr w:type="gramEnd"/>
      <w:r w:rsidRPr="00ED19FC">
        <w:rPr>
          <w:rFonts w:ascii="標楷體" w:eastAsia="標楷體" w:hAnsi="標楷體"/>
          <w:bCs/>
          <w:color w:val="000000"/>
          <w:kern w:val="0"/>
          <w:sz w:val="28"/>
          <w:szCs w:val="28"/>
        </w:rPr>
        <w:t>曦顧問公司啟動，台灣世曦顧問公司依合約規定於110年4月19日提送小港林園東港線可行性研究期中報告，本局函轉屏東縣政府協助召開審查會議。</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110年10月26日屏東縣</w:t>
      </w:r>
      <w:proofErr w:type="gramStart"/>
      <w:r w:rsidRPr="00ED19FC">
        <w:rPr>
          <w:rFonts w:ascii="標楷體" w:eastAsia="標楷體" w:hAnsi="標楷體"/>
          <w:bCs/>
          <w:color w:val="000000"/>
          <w:kern w:val="0"/>
          <w:sz w:val="28"/>
          <w:szCs w:val="28"/>
        </w:rPr>
        <w:t>交旅處</w:t>
      </w:r>
      <w:proofErr w:type="gramEnd"/>
      <w:r w:rsidRPr="00ED19FC">
        <w:rPr>
          <w:rFonts w:ascii="標楷體" w:eastAsia="標楷體" w:hAnsi="標楷體"/>
          <w:bCs/>
          <w:color w:val="000000"/>
          <w:kern w:val="0"/>
          <w:sz w:val="28"/>
          <w:szCs w:val="28"/>
        </w:rPr>
        <w:t>向縣長簡報小港東港線後續因應對策，同意依該處建議，林園東港段改用高架輕軌型式推動。屏東縣政府於111.10.20召開可行性研究期中報告審查會，本府於111.11.28同意審定可行性研究期中報告，目前續辦理可行性研究期末作業。</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（二）捷運旗津線可行性研究</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旗津線可行性研究案於107年獲中央補助及本府自籌部分經費辦理，108年1月18日與委託顧問完成簽約，工作計畫書於5月2日同意審定，12月16日於旗津區公所召開該路線地方說明會蒐集民意，109年3月16日期中報告同意審定，10月21日取得議會同意支持函文，110年3月22日召開旗津線期末報告書審查會議，111年12月5日同意審定期末報告，目前由本府交通局所辦計畫</w:t>
      </w:r>
      <w:proofErr w:type="gramStart"/>
      <w:r w:rsidRPr="00ED19FC">
        <w:rPr>
          <w:rFonts w:ascii="標楷體" w:eastAsia="標楷體" w:hAnsi="標楷體"/>
          <w:bCs/>
          <w:color w:val="000000"/>
          <w:kern w:val="0"/>
          <w:sz w:val="28"/>
          <w:szCs w:val="28"/>
        </w:rPr>
        <w:t>併</w:t>
      </w:r>
      <w:proofErr w:type="gramEnd"/>
      <w:r w:rsidRPr="00ED19FC">
        <w:rPr>
          <w:rFonts w:ascii="標楷體" w:eastAsia="標楷體" w:hAnsi="標楷體"/>
          <w:bCs/>
          <w:color w:val="000000"/>
          <w:kern w:val="0"/>
          <w:sz w:val="28"/>
          <w:szCs w:val="28"/>
        </w:rPr>
        <w:t>同評估旗津線與第二過港隧道共構之可行性。</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（三）整體路網規劃評估</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鑒於本府高雄都會區大眾捷運系統整體路網規劃案係100年因應縣市合併辦理，至今已近10年，法令規定及時空環境轉變，城市的發展須有前瞻之規劃，並配合中央重大建設案，例如前鎮漁港聯外軌道運輸規劃等最新都市規劃與發展需求，以及多位議員關切之輕軌C20車站延伸至高鐵左營站、</w:t>
      </w:r>
      <w:proofErr w:type="gramStart"/>
      <w:r w:rsidRPr="00ED19FC">
        <w:rPr>
          <w:rFonts w:ascii="標楷體" w:eastAsia="標楷體" w:hAnsi="標楷體"/>
          <w:bCs/>
          <w:color w:val="000000"/>
          <w:kern w:val="0"/>
          <w:sz w:val="28"/>
          <w:szCs w:val="28"/>
        </w:rPr>
        <w:t>梓</w:t>
      </w:r>
      <w:proofErr w:type="gramEnd"/>
      <w:r w:rsidRPr="00ED19FC">
        <w:rPr>
          <w:rFonts w:ascii="標楷體" w:eastAsia="標楷體" w:hAnsi="標楷體"/>
          <w:bCs/>
          <w:color w:val="000000"/>
          <w:kern w:val="0"/>
          <w:sz w:val="28"/>
          <w:szCs w:val="28"/>
        </w:rPr>
        <w:t>官、彌陀、永安、茄</w:t>
      </w:r>
      <w:proofErr w:type="gramStart"/>
      <w:r w:rsidRPr="00ED19FC">
        <w:rPr>
          <w:rFonts w:ascii="標楷體" w:eastAsia="標楷體" w:hAnsi="標楷體"/>
          <w:bCs/>
          <w:color w:val="000000"/>
          <w:kern w:val="0"/>
          <w:sz w:val="28"/>
          <w:szCs w:val="28"/>
        </w:rPr>
        <w:t>萣</w:t>
      </w:r>
      <w:proofErr w:type="gramEnd"/>
      <w:r w:rsidRPr="00ED19FC">
        <w:rPr>
          <w:rFonts w:ascii="標楷體" w:eastAsia="標楷體" w:hAnsi="標楷體"/>
          <w:bCs/>
          <w:color w:val="000000"/>
          <w:kern w:val="0"/>
          <w:sz w:val="28"/>
          <w:szCs w:val="28"/>
        </w:rPr>
        <w:t>等海線地區規劃、延伸高鐵沙崙站等路廊，捷運局於</w:t>
      </w:r>
      <w:proofErr w:type="gramStart"/>
      <w:r w:rsidRPr="00ED19FC">
        <w:rPr>
          <w:rFonts w:ascii="標楷體" w:eastAsia="標楷體" w:hAnsi="標楷體"/>
          <w:bCs/>
          <w:color w:val="000000"/>
          <w:kern w:val="0"/>
          <w:sz w:val="28"/>
          <w:szCs w:val="28"/>
        </w:rPr>
        <w:t>110</w:t>
      </w:r>
      <w:proofErr w:type="gramEnd"/>
      <w:r w:rsidRPr="00ED19FC">
        <w:rPr>
          <w:rFonts w:ascii="標楷體" w:eastAsia="標楷體" w:hAnsi="標楷體"/>
          <w:bCs/>
          <w:color w:val="000000"/>
          <w:kern w:val="0"/>
          <w:sz w:val="28"/>
          <w:szCs w:val="28"/>
        </w:rPr>
        <w:t>年度開始辦理本市大眾捷運系統整體路網評估案。預計113年可完成整體路網評估報告。</w:t>
      </w:r>
    </w:p>
    <w:p w:rsidR="00B14CBD" w:rsidRPr="00ED19FC" w:rsidRDefault="005117C7" w:rsidP="00ED19FC">
      <w:pPr>
        <w:widowControl/>
        <w:overflowPunct w:val="0"/>
        <w:snapToGrid w:val="0"/>
        <w:spacing w:line="320" w:lineRule="exact"/>
        <w:ind w:left="454"/>
        <w:jc w:val="both"/>
        <w:rPr>
          <w:rFonts w:ascii="標楷體" w:eastAsia="標楷體" w:hAnsi="標楷體"/>
          <w:bCs/>
          <w:color w:val="000000"/>
          <w:kern w:val="0"/>
          <w:sz w:val="28"/>
          <w:szCs w:val="28"/>
        </w:rPr>
      </w:pPr>
      <w:r>
        <w:rPr>
          <w:rFonts w:ascii="標楷體" w:eastAsia="標楷體" w:hAnsi="標楷體" w:hint="eastAsia"/>
          <w:bCs/>
          <w:color w:val="000000"/>
          <w:kern w:val="0"/>
          <w:sz w:val="28"/>
          <w:szCs w:val="28"/>
        </w:rPr>
        <w:lastRenderedPageBreak/>
        <w:t>（</w:t>
      </w:r>
      <w:r w:rsidR="00ED19FC" w:rsidRPr="00ED19FC">
        <w:rPr>
          <w:rFonts w:ascii="標楷體" w:eastAsia="標楷體" w:hAnsi="標楷體"/>
          <w:bCs/>
          <w:color w:val="000000"/>
          <w:kern w:val="0"/>
          <w:sz w:val="28"/>
          <w:szCs w:val="28"/>
        </w:rPr>
        <w:t>四</w:t>
      </w:r>
      <w:r>
        <w:rPr>
          <w:rFonts w:ascii="標楷體" w:eastAsia="標楷體" w:hAnsi="標楷體" w:hint="eastAsia"/>
          <w:bCs/>
          <w:color w:val="000000"/>
          <w:kern w:val="0"/>
          <w:sz w:val="28"/>
          <w:szCs w:val="28"/>
        </w:rPr>
        <w:t>）</w:t>
      </w:r>
      <w:bookmarkStart w:id="0" w:name="_GoBack"/>
      <w:bookmarkEnd w:id="0"/>
      <w:r w:rsidR="00ED19FC" w:rsidRPr="00ED19FC">
        <w:rPr>
          <w:rFonts w:ascii="標楷體" w:eastAsia="標楷體" w:hAnsi="標楷體"/>
          <w:bCs/>
          <w:color w:val="000000"/>
          <w:kern w:val="0"/>
          <w:sz w:val="28"/>
          <w:szCs w:val="28"/>
        </w:rPr>
        <w:t>前鎮漁港聯外軌道運輸規劃</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本案配合中央前鎮漁港重大建設專案辦理，計畫總經費900萬元（中央補助756萬元、地方自籌144萬元），交通部於</w:t>
      </w:r>
      <w:proofErr w:type="gramStart"/>
      <w:r w:rsidRPr="00ED19FC">
        <w:rPr>
          <w:rFonts w:ascii="標楷體" w:eastAsia="標楷體" w:hAnsi="標楷體"/>
          <w:bCs/>
          <w:color w:val="000000"/>
          <w:kern w:val="0"/>
          <w:sz w:val="28"/>
          <w:szCs w:val="28"/>
        </w:rPr>
        <w:t>111年4月8日交路</w:t>
      </w:r>
      <w:proofErr w:type="gramEnd"/>
      <w:r w:rsidRPr="00ED19FC">
        <w:rPr>
          <w:rFonts w:ascii="標楷體" w:eastAsia="標楷體" w:hAnsi="標楷體"/>
          <w:bCs/>
          <w:color w:val="000000"/>
          <w:kern w:val="0"/>
          <w:sz w:val="28"/>
          <w:szCs w:val="28"/>
        </w:rPr>
        <w:t>(</w:t>
      </w:r>
      <w:proofErr w:type="gramStart"/>
      <w:r w:rsidRPr="00ED19FC">
        <w:rPr>
          <w:rFonts w:ascii="標楷體" w:eastAsia="標楷體" w:hAnsi="標楷體"/>
          <w:bCs/>
          <w:color w:val="000000"/>
          <w:kern w:val="0"/>
          <w:sz w:val="28"/>
          <w:szCs w:val="28"/>
        </w:rPr>
        <w:t>一</w:t>
      </w:r>
      <w:proofErr w:type="gramEnd"/>
      <w:r w:rsidRPr="00ED19FC">
        <w:rPr>
          <w:rFonts w:ascii="標楷體" w:eastAsia="標楷體" w:hAnsi="標楷體"/>
          <w:bCs/>
          <w:color w:val="000000"/>
          <w:kern w:val="0"/>
          <w:sz w:val="28"/>
          <w:szCs w:val="28"/>
        </w:rPr>
        <w:t>)字第1117900226號函同意補助「高雄都會區大眾捷運系統前鎮漁港聯外軌道運輸規劃案」,預計113年中完成路線規劃評估報告。</w:t>
      </w:r>
    </w:p>
    <w:p w:rsidR="00B14CBD" w:rsidRPr="00ED19FC" w:rsidRDefault="00ED19FC" w:rsidP="00ED19FC">
      <w:pPr>
        <w:widowControl/>
        <w:overflowPunct w:val="0"/>
        <w:snapToGrid w:val="0"/>
        <w:spacing w:line="320" w:lineRule="exact"/>
        <w:ind w:left="454"/>
        <w:jc w:val="both"/>
        <w:rPr>
          <w:rFonts w:ascii="標楷體" w:eastAsia="標楷體" w:hAnsi="標楷體"/>
          <w:bCs/>
          <w:color w:val="000000"/>
          <w:kern w:val="0"/>
          <w:sz w:val="28"/>
          <w:szCs w:val="28"/>
        </w:rPr>
      </w:pPr>
      <w:r>
        <w:rPr>
          <w:rFonts w:ascii="標楷體" w:eastAsia="標楷體" w:hAnsi="標楷體" w:hint="eastAsia"/>
          <w:bCs/>
          <w:color w:val="000000"/>
          <w:kern w:val="0"/>
          <w:sz w:val="28"/>
          <w:szCs w:val="28"/>
        </w:rPr>
        <w:t>（</w:t>
      </w:r>
      <w:r w:rsidRPr="00ED19FC">
        <w:rPr>
          <w:rFonts w:ascii="標楷體" w:eastAsia="標楷體" w:hAnsi="標楷體"/>
          <w:bCs/>
          <w:color w:val="000000"/>
          <w:kern w:val="0"/>
          <w:sz w:val="28"/>
          <w:szCs w:val="28"/>
        </w:rPr>
        <w:t>五</w:t>
      </w:r>
      <w:r>
        <w:rPr>
          <w:rFonts w:ascii="標楷體" w:eastAsia="標楷體" w:hAnsi="標楷體" w:hint="eastAsia"/>
          <w:bCs/>
          <w:color w:val="000000"/>
          <w:kern w:val="0"/>
          <w:sz w:val="28"/>
          <w:szCs w:val="28"/>
        </w:rPr>
        <w:t>）</w:t>
      </w:r>
      <w:r w:rsidRPr="00ED19FC">
        <w:rPr>
          <w:rFonts w:ascii="標楷體" w:eastAsia="標楷體" w:hAnsi="標楷體"/>
          <w:bCs/>
          <w:color w:val="000000"/>
          <w:kern w:val="0"/>
          <w:sz w:val="28"/>
          <w:szCs w:val="28"/>
        </w:rPr>
        <w:t>高鐵右</w:t>
      </w:r>
      <w:proofErr w:type="gramStart"/>
      <w:r w:rsidRPr="00ED19FC">
        <w:rPr>
          <w:rFonts w:ascii="標楷體" w:eastAsia="標楷體" w:hAnsi="標楷體"/>
          <w:bCs/>
          <w:color w:val="000000"/>
          <w:kern w:val="0"/>
          <w:sz w:val="28"/>
          <w:szCs w:val="28"/>
        </w:rPr>
        <w:t>昌學園線(紫線</w:t>
      </w:r>
      <w:proofErr w:type="gramEnd"/>
      <w:r w:rsidRPr="00ED19FC">
        <w:rPr>
          <w:rFonts w:ascii="標楷體" w:eastAsia="標楷體" w:hAnsi="標楷體"/>
          <w:bCs/>
          <w:color w:val="000000"/>
          <w:kern w:val="0"/>
          <w:sz w:val="28"/>
          <w:szCs w:val="28"/>
        </w:rPr>
        <w:t>)可行性研究</w:t>
      </w:r>
    </w:p>
    <w:p w:rsidR="00B14CBD" w:rsidRPr="00ED19FC" w:rsidRDefault="00ED19FC" w:rsidP="00ED19FC">
      <w:pPr>
        <w:widowControl/>
        <w:overflowPunct w:val="0"/>
        <w:autoSpaceDE w:val="0"/>
        <w:snapToGrid w:val="0"/>
        <w:spacing w:line="320" w:lineRule="exact"/>
        <w:ind w:left="1361"/>
        <w:jc w:val="both"/>
        <w:rPr>
          <w:rFonts w:ascii="標楷體" w:eastAsia="標楷體" w:hAnsi="標楷體"/>
          <w:bCs/>
          <w:color w:val="000000"/>
          <w:kern w:val="0"/>
          <w:sz w:val="28"/>
          <w:szCs w:val="28"/>
        </w:rPr>
      </w:pPr>
      <w:r w:rsidRPr="00ED19FC">
        <w:rPr>
          <w:rFonts w:ascii="標楷體" w:eastAsia="標楷體" w:hAnsi="標楷體"/>
          <w:bCs/>
          <w:color w:val="000000"/>
          <w:kern w:val="0"/>
          <w:sz w:val="28"/>
          <w:szCs w:val="28"/>
        </w:rPr>
        <w:t>高雄都會區大眾捷運系統高鐵右</w:t>
      </w:r>
      <w:proofErr w:type="gramStart"/>
      <w:r w:rsidRPr="00ED19FC">
        <w:rPr>
          <w:rFonts w:ascii="標楷體" w:eastAsia="標楷體" w:hAnsi="標楷體"/>
          <w:bCs/>
          <w:color w:val="000000"/>
          <w:kern w:val="0"/>
          <w:sz w:val="28"/>
          <w:szCs w:val="28"/>
        </w:rPr>
        <w:t>昌學園線(紫線</w:t>
      </w:r>
      <w:proofErr w:type="gramEnd"/>
      <w:r w:rsidRPr="00ED19FC">
        <w:rPr>
          <w:rFonts w:ascii="標楷體" w:eastAsia="標楷體" w:hAnsi="標楷體"/>
          <w:bCs/>
          <w:color w:val="000000"/>
          <w:kern w:val="0"/>
          <w:sz w:val="28"/>
          <w:szCs w:val="28"/>
        </w:rPr>
        <w:t>)建設及周邊土地開發計畫可行性研究委託技術服務案於111年7月22日獲交通部同意補助1680萬元，10月3日公告上網，11月15日辦理開標，12月8日辦理評選作業由「鼎漢國際工程顧問股份有限公司」為第1優勝廠商，12月19日完成議價，12月28日完成簽約，契約金額1910萬元。預計112年2月底審定服務實施計畫書，112年3月可撥付第一期款191萬。預計113年中完成可行性研究期末報告，現正辦理擬定服務實施計畫書作業。</w:t>
      </w:r>
    </w:p>
    <w:sectPr w:rsidR="00B14CBD" w:rsidRPr="00ED19FC" w:rsidSect="005117C7">
      <w:footerReference w:type="default" r:id="rId10"/>
      <w:pgSz w:w="11906" w:h="16838"/>
      <w:pgMar w:top="1418" w:right="1418" w:bottom="1418" w:left="1418" w:header="851" w:footer="510" w:gutter="0"/>
      <w:pgNumType w:start="250"/>
      <w:cols w:space="720"/>
      <w:docGrid w:type="lines" w:linePitch="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4C" w:rsidRDefault="00ED19FC">
      <w:r>
        <w:separator/>
      </w:r>
    </w:p>
  </w:endnote>
  <w:endnote w:type="continuationSeparator" w:id="0">
    <w:p w:rsidR="00242E4C" w:rsidRDefault="00ED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383800"/>
      <w:docPartObj>
        <w:docPartGallery w:val="Page Numbers (Bottom of Page)"/>
        <w:docPartUnique/>
      </w:docPartObj>
    </w:sdtPr>
    <w:sdtContent>
      <w:p w:rsidR="005117C7" w:rsidRDefault="005117C7">
        <w:pPr>
          <w:pStyle w:val="a7"/>
          <w:jc w:val="center"/>
        </w:pPr>
        <w:r>
          <w:fldChar w:fldCharType="begin"/>
        </w:r>
        <w:r>
          <w:instrText>PAGE   \* MERGEFORMAT</w:instrText>
        </w:r>
        <w:r>
          <w:fldChar w:fldCharType="separate"/>
        </w:r>
        <w:r w:rsidRPr="005117C7">
          <w:rPr>
            <w:noProof/>
            <w:lang w:val="zh-TW"/>
          </w:rPr>
          <w:t>257</w:t>
        </w:r>
        <w:r>
          <w:fldChar w:fldCharType="end"/>
        </w:r>
      </w:p>
    </w:sdtContent>
  </w:sdt>
  <w:p w:rsidR="005117C7" w:rsidRDefault="005117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4C" w:rsidRDefault="00ED19FC">
      <w:r>
        <w:rPr>
          <w:color w:val="000000"/>
        </w:rPr>
        <w:separator/>
      </w:r>
    </w:p>
  </w:footnote>
  <w:footnote w:type="continuationSeparator" w:id="0">
    <w:p w:rsidR="00242E4C" w:rsidRDefault="00ED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045B"/>
    <w:multiLevelType w:val="multilevel"/>
    <w:tmpl w:val="8E1C4E84"/>
    <w:lvl w:ilvl="0">
      <w:start w:val="1"/>
      <w:numFmt w:val="upperLetter"/>
      <w:lvlText w:val="%1."/>
      <w:lvlJc w:val="left"/>
      <w:pPr>
        <w:ind w:left="1615"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
    <w:nsid w:val="5AC50FDF"/>
    <w:multiLevelType w:val="multilevel"/>
    <w:tmpl w:val="3634BBAA"/>
    <w:lvl w:ilvl="0">
      <w:numFmt w:val="bullet"/>
      <w:lvlText w:val=""/>
      <w:lvlJc w:val="left"/>
      <w:pPr>
        <w:ind w:left="1473" w:hanging="480"/>
      </w:pPr>
      <w:rPr>
        <w:rFonts w:ascii="Wingdings" w:hAnsi="Wingdings"/>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549"/>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B14CBD"/>
    <w:rsid w:val="00242E4C"/>
    <w:rsid w:val="005117C7"/>
    <w:rsid w:val="005F5006"/>
    <w:rsid w:val="00B14CBD"/>
    <w:rsid w:val="00ED19FC"/>
    <w:rsid w:val="00FB4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pPr>
      <w:snapToGrid w:val="0"/>
    </w:pPr>
    <w:rPr>
      <w:rFonts w:ascii="標楷體" w:eastAsia="標楷體" w:hAnsi="標楷體"/>
      <w:sz w:val="36"/>
      <w:szCs w:val="20"/>
    </w:rPr>
  </w:style>
  <w:style w:type="paragraph" w:styleId="2">
    <w:name w:val="Body Text Indent 2"/>
    <w:basedOn w:val="a"/>
    <w:pPr>
      <w:spacing w:after="120" w:line="480" w:lineRule="auto"/>
      <w:ind w:left="480"/>
    </w:pPr>
    <w:rPr>
      <w:szCs w:val="20"/>
    </w:rPr>
  </w:style>
  <w:style w:type="paragraph" w:styleId="3">
    <w:name w:val="Body Text Indent 3"/>
    <w:basedOn w:val="a"/>
    <w:pPr>
      <w:spacing w:line="520" w:lineRule="exact"/>
      <w:ind w:left="2240"/>
    </w:pPr>
    <w:rPr>
      <w:rFonts w:eastAsia="標楷體"/>
      <w:sz w:val="32"/>
    </w:rPr>
  </w:style>
  <w:style w:type="paragraph" w:customStyle="1" w:styleId="a4">
    <w:name w:val="說明"/>
    <w:basedOn w:val="a"/>
    <w:pPr>
      <w:wordWrap w:val="0"/>
      <w:snapToGrid w:val="0"/>
      <w:ind w:left="567" w:hanging="567"/>
    </w:pPr>
    <w:rPr>
      <w:rFonts w:eastAsia="標楷體"/>
      <w:sz w:val="32"/>
    </w:rPr>
  </w:style>
  <w:style w:type="paragraph" w:styleId="a5">
    <w:name w:val="Body Text Indent"/>
    <w:basedOn w:val="a"/>
    <w:pPr>
      <w:spacing w:line="540" w:lineRule="exact"/>
      <w:ind w:left="679" w:firstLine="320"/>
    </w:pPr>
    <w:rPr>
      <w:rFonts w:ascii="標楷體" w:eastAsia="標楷體" w:hAnsi="標楷體"/>
      <w:sz w:val="32"/>
    </w:rPr>
  </w:style>
  <w:style w:type="paragraph" w:styleId="a6">
    <w:name w:val="Body Text"/>
    <w:basedOn w:val="a"/>
    <w:rPr>
      <w:rFonts w:eastAsia="標楷體"/>
      <w:sz w:val="32"/>
      <w:szCs w:val="20"/>
    </w:rPr>
  </w:style>
  <w:style w:type="paragraph" w:styleId="a7">
    <w:name w:val="footer"/>
    <w:basedOn w:val="a"/>
    <w:uiPriority w:val="99"/>
    <w:pPr>
      <w:tabs>
        <w:tab w:val="center" w:pos="4153"/>
        <w:tab w:val="right" w:pos="8306"/>
      </w:tabs>
      <w:snapToGrid w:val="0"/>
    </w:pPr>
    <w:rPr>
      <w:sz w:val="20"/>
      <w:szCs w:val="20"/>
    </w:rPr>
  </w:style>
  <w:style w:type="character" w:styleId="a8">
    <w:name w:val="page number"/>
    <w:basedOn w:val="a0"/>
  </w:style>
  <w:style w:type="paragraph" w:styleId="20">
    <w:name w:val="Body Text 2"/>
    <w:basedOn w:val="a"/>
    <w:rPr>
      <w:rFonts w:eastAsia="標楷體"/>
      <w:sz w:val="36"/>
    </w:rPr>
  </w:style>
  <w:style w:type="paragraph" w:customStyle="1" w:styleId="a9">
    <w:name w:val="主旨"/>
    <w:basedOn w:val="a"/>
    <w:pPr>
      <w:wordWrap w:val="0"/>
      <w:snapToGrid w:val="0"/>
    </w:pPr>
    <w:rPr>
      <w:rFonts w:eastAsia="標楷體"/>
      <w:sz w:val="32"/>
      <w:szCs w:val="20"/>
    </w:rPr>
  </w:style>
  <w:style w:type="paragraph" w:styleId="aa">
    <w:name w:val="Block Text"/>
    <w:basedOn w:val="a"/>
    <w:pPr>
      <w:spacing w:line="480" w:lineRule="exact"/>
      <w:ind w:left="720" w:right="31"/>
    </w:pPr>
    <w:rPr>
      <w:rFonts w:ascii="標楷體" w:eastAsia="標楷體" w:hAnsi="標楷體"/>
      <w:sz w:val="32"/>
      <w:szCs w:val="28"/>
    </w:rPr>
  </w:style>
  <w:style w:type="paragraph" w:styleId="ab">
    <w:name w:val="annotation text"/>
    <w:basedOn w:val="a"/>
    <w:rPr>
      <w:rFonts w:eastAsia="標楷體"/>
      <w:sz w:val="32"/>
      <w:szCs w:val="32"/>
    </w:rPr>
  </w:style>
  <w:style w:type="paragraph" w:styleId="ac">
    <w:name w:val="header"/>
    <w:basedOn w:val="a"/>
    <w:pPr>
      <w:tabs>
        <w:tab w:val="center" w:pos="4153"/>
        <w:tab w:val="right" w:pos="8306"/>
      </w:tabs>
      <w:snapToGrid w:val="0"/>
    </w:pPr>
    <w:rPr>
      <w:sz w:val="20"/>
      <w:szCs w:val="20"/>
    </w:rPr>
  </w:style>
  <w:style w:type="paragraph" w:styleId="ad">
    <w:name w:val="Balloon Text"/>
    <w:basedOn w:val="a"/>
    <w:rPr>
      <w:rFonts w:ascii="Arial" w:hAnsi="Arial"/>
      <w:sz w:val="18"/>
      <w:szCs w:val="18"/>
    </w:rPr>
  </w:style>
  <w:style w:type="paragraph" w:customStyle="1" w:styleId="ae">
    <w:name w:val="字元 字元 字元 字元"/>
    <w:basedOn w:val="a"/>
    <w:pPr>
      <w:widowControl/>
      <w:spacing w:after="160" w:line="240" w:lineRule="exact"/>
    </w:pPr>
    <w:rPr>
      <w:rFonts w:ascii="Tahoma" w:hAnsi="Tahoma"/>
      <w:kern w:val="0"/>
      <w:sz w:val="20"/>
      <w:szCs w:val="20"/>
      <w:lang w:eastAsia="en-US"/>
    </w:rPr>
  </w:style>
  <w:style w:type="character" w:customStyle="1" w:styleId="tax2">
    <w:name w:val="tax2"/>
    <w:rPr>
      <w:color w:val="666666"/>
      <w:spacing w:val="320"/>
      <w:sz w:val="21"/>
      <w:szCs w:val="21"/>
    </w:rPr>
  </w:style>
  <w:style w:type="paragraph" w:customStyle="1" w:styleId="af">
    <w:name w:val="字元"/>
    <w:basedOn w:val="a"/>
    <w:pPr>
      <w:widowControl/>
      <w:spacing w:after="160" w:line="240" w:lineRule="exact"/>
    </w:pPr>
    <w:rPr>
      <w:rFonts w:ascii="Tahoma" w:hAnsi="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character" w:customStyle="1" w:styleId="gray12h231">
    <w:name w:val="gray12_h231"/>
    <w:rPr>
      <w:strike w:val="0"/>
      <w:dstrike w:val="0"/>
      <w:color w:val="525252"/>
      <w:spacing w:val="12"/>
      <w:sz w:val="16"/>
      <w:szCs w:val="16"/>
      <w:u w:val="none"/>
    </w:rPr>
  </w:style>
  <w:style w:type="paragraph" w:customStyle="1" w:styleId="af1">
    <w:name w:val="字元"/>
    <w:basedOn w:val="a"/>
    <w:pPr>
      <w:widowControl/>
      <w:spacing w:after="160" w:line="240" w:lineRule="exact"/>
    </w:pPr>
    <w:rPr>
      <w:rFonts w:ascii="Tahoma" w:hAnsi="Tahoma"/>
      <w:kern w:val="0"/>
      <w:sz w:val="20"/>
      <w:szCs w:val="20"/>
      <w:lang w:eastAsia="en-US"/>
    </w:rPr>
  </w:style>
  <w:style w:type="character" w:customStyle="1" w:styleId="tlh108mb">
    <w:name w:val="tlh108 mb"/>
    <w:basedOn w:val="a0"/>
  </w:style>
  <w:style w:type="paragraph" w:styleId="af2">
    <w:name w:val="Document Map"/>
    <w:basedOn w:val="a"/>
    <w:pPr>
      <w:shd w:val="clear" w:color="auto" w:fill="000080"/>
    </w:pPr>
    <w:rPr>
      <w:rFonts w:ascii="Arial" w:hAnsi="Arial"/>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Pr>
      <w:rFonts w:ascii="Arial" w:hAnsi="Arial" w:cs="Arial"/>
      <w:color w:val="666666"/>
      <w:spacing w:val="288"/>
      <w:sz w:val="19"/>
      <w:szCs w:val="19"/>
    </w:rPr>
  </w:style>
  <w:style w:type="paragraph" w:customStyle="1" w:styleId="10">
    <w:name w:val="字元1"/>
    <w:basedOn w:val="a"/>
    <w:pPr>
      <w:widowControl/>
      <w:spacing w:after="160" w:line="240" w:lineRule="exact"/>
    </w:pPr>
    <w:rPr>
      <w:rFonts w:ascii="Tahoma" w:hAnsi="Tahoma"/>
      <w:kern w:val="0"/>
      <w:sz w:val="20"/>
      <w:szCs w:val="20"/>
      <w:lang w:eastAsia="en-US"/>
    </w:rPr>
  </w:style>
  <w:style w:type="paragraph" w:styleId="af3">
    <w:name w:val="List Paragraph"/>
    <w:basedOn w:val="a"/>
    <w:pPr>
      <w:ind w:left="480"/>
    </w:pPr>
    <w:rPr>
      <w:rFonts w:ascii="Calibri" w:hAnsi="Calibri"/>
      <w:szCs w:val="22"/>
    </w:rPr>
  </w:style>
  <w:style w:type="paragraph" w:customStyle="1" w:styleId="af4">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5">
    <w:name w:val="Plain Text"/>
    <w:basedOn w:val="a"/>
    <w:rPr>
      <w:rFonts w:ascii="細明體" w:eastAsia="細明體" w:hAnsi="細明體"/>
      <w:szCs w:val="20"/>
    </w:rPr>
  </w:style>
  <w:style w:type="paragraph" w:customStyle="1" w:styleId="11">
    <w:name w:val="字元1 字元 字元1"/>
    <w:basedOn w:val="a"/>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kern w:val="0"/>
      <w:sz w:val="20"/>
      <w:szCs w:val="20"/>
      <w:lang w:eastAsia="en-US"/>
    </w:rPr>
  </w:style>
  <w:style w:type="paragraph" w:customStyle="1" w:styleId="af6">
    <w:name w:val="( 一)"/>
    <w:pPr>
      <w:suppressAutoHyphens/>
      <w:snapToGrid w:val="0"/>
      <w:spacing w:line="325" w:lineRule="exact"/>
      <w:ind w:left="100" w:hanging="100"/>
    </w:pPr>
    <w:rPr>
      <w:rFonts w:ascii="標楷體" w:eastAsia="標楷體" w:hAnsi="標楷體"/>
      <w:sz w:val="26"/>
    </w:rPr>
  </w:style>
  <w:style w:type="paragraph" w:customStyle="1" w:styleId="af7">
    <w:name w:val="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8">
    <w:name w:val="Salutation"/>
    <w:basedOn w:val="a"/>
    <w:next w:val="a"/>
    <w:rPr>
      <w:rFonts w:ascii="標楷體" w:eastAsia="標楷體" w:hAnsi="標楷體"/>
      <w:sz w:val="28"/>
      <w:szCs w:val="28"/>
    </w:rPr>
  </w:style>
  <w:style w:type="paragraph" w:customStyle="1" w:styleId="af9">
    <w:name w:val="字元 字元 字元 字元 字元"/>
    <w:basedOn w:val="a"/>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style>
  <w:style w:type="character" w:customStyle="1" w:styleId="afa">
    <w:name w:val="頁尾 字元"/>
    <w:uiPriority w:val="99"/>
    <w:rPr>
      <w:kern w:val="3"/>
    </w:rPr>
  </w:style>
  <w:style w:type="character" w:styleId="afb">
    <w:name w:val="Emphasis"/>
    <w:rPr>
      <w:b w:val="0"/>
      <w:bCs w:val="0"/>
      <w:i w:val="0"/>
      <w:iCs w:val="0"/>
      <w:color w:val="DD4B39"/>
    </w:rPr>
  </w:style>
  <w:style w:type="character" w:customStyle="1" w:styleId="afc">
    <w:name w:val="註解文字 字元"/>
    <w:basedOn w:val="a0"/>
    <w:rPr>
      <w:rFonts w:eastAsia="標楷體"/>
      <w:kern w:val="3"/>
      <w:sz w:val="32"/>
      <w:szCs w:val="32"/>
    </w:rPr>
  </w:style>
  <w:style w:type="character" w:styleId="afd">
    <w:name w:val="Hyperlink"/>
    <w:rPr>
      <w:color w:val="0000FF"/>
      <w:u w:val="single"/>
    </w:rPr>
  </w:style>
  <w:style w:type="paragraph" w:customStyle="1" w:styleId="afe">
    <w:name w:val="[基本段落]"/>
    <w:basedOn w:val="a"/>
    <w:pPr>
      <w:autoSpaceDE w:val="0"/>
      <w:spacing w:line="288" w:lineRule="auto"/>
      <w:jc w:val="both"/>
      <w:textAlignment w:val="center"/>
    </w:pPr>
    <w:rPr>
      <w:rFonts w:ascii="微軟正黑體" w:eastAsia="微軟正黑體" w:hAnsi="微軟正黑體"/>
      <w:color w:val="000000"/>
      <w:kern w:val="0"/>
      <w:lang w:val="zh-TW"/>
    </w:rPr>
  </w:style>
  <w:style w:type="paragraph" w:customStyle="1" w:styleId="100">
    <w:name w:val="(1)0標題"/>
    <w:basedOn w:val="a"/>
    <w:pPr>
      <w:snapToGrid w:val="0"/>
      <w:ind w:left="2098" w:hanging="480"/>
      <w:jc w:val="both"/>
    </w:pPr>
    <w:rPr>
      <w:rFonts w:ascii="標楷體" w:eastAsia="標楷體" w:hAnsi="標楷體"/>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01">
    <w:name w:val="01.內文"/>
    <w:basedOn w:val="a"/>
    <w:pPr>
      <w:snapToGrid w:val="0"/>
      <w:ind w:left="1680" w:firstLine="640"/>
      <w:jc w:val="both"/>
    </w:pPr>
    <w:rPr>
      <w:rFonts w:ascii="標楷體" w:eastAsia="標楷體" w:hAnsi="標楷體"/>
      <w:color w:val="0000FF"/>
      <w:sz w:val="32"/>
      <w:szCs w:val="32"/>
    </w:rPr>
  </w:style>
  <w:style w:type="paragraph" w:customStyle="1" w:styleId="Standard">
    <w:name w:val="Standard"/>
    <w:pPr>
      <w:widowControl w:val="0"/>
      <w:suppressAutoHyphens/>
    </w:pPr>
    <w:rPr>
      <w:rFonts w:ascii="標楷體" w:eastAsia="標楷體" w:hAnsi="標楷體"/>
      <w:kern w:val="3"/>
      <w:sz w:val="28"/>
    </w:rPr>
  </w:style>
  <w:style w:type="character" w:customStyle="1" w:styleId="010">
    <w:name w:val="01.內文 字元"/>
    <w:rPr>
      <w:rFonts w:ascii="標楷體" w:eastAsia="標楷體" w:hAnsi="標楷體"/>
      <w:color w:val="0000FF"/>
      <w:kern w:val="3"/>
      <w:sz w:val="32"/>
      <w:szCs w:val="32"/>
    </w:rPr>
  </w:style>
  <w:style w:type="character" w:customStyle="1" w:styleId="13">
    <w:name w:val="(1)第一標題 字元"/>
    <w:rPr>
      <w:rFonts w:ascii="標楷體" w:eastAsia="標楷體" w:hAnsi="標楷體"/>
      <w:color w:val="FF0000"/>
      <w:kern w:val="3"/>
      <w:sz w:val="32"/>
      <w:szCs w:val="32"/>
      <w:lang w:val="en-US" w:eastAsia="zh-TW" w:bidi="ar-SA"/>
    </w:rPr>
  </w:style>
  <w:style w:type="paragraph" w:styleId="8">
    <w:name w:val="toc 8"/>
    <w:basedOn w:val="a"/>
    <w:next w:val="a"/>
    <w:autoRedefine/>
    <w:pPr>
      <w:ind w:left="3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pPr>
      <w:snapToGrid w:val="0"/>
    </w:pPr>
    <w:rPr>
      <w:rFonts w:ascii="標楷體" w:eastAsia="標楷體" w:hAnsi="標楷體"/>
      <w:sz w:val="36"/>
      <w:szCs w:val="20"/>
    </w:rPr>
  </w:style>
  <w:style w:type="paragraph" w:styleId="2">
    <w:name w:val="Body Text Indent 2"/>
    <w:basedOn w:val="a"/>
    <w:pPr>
      <w:spacing w:after="120" w:line="480" w:lineRule="auto"/>
      <w:ind w:left="480"/>
    </w:pPr>
    <w:rPr>
      <w:szCs w:val="20"/>
    </w:rPr>
  </w:style>
  <w:style w:type="paragraph" w:styleId="3">
    <w:name w:val="Body Text Indent 3"/>
    <w:basedOn w:val="a"/>
    <w:pPr>
      <w:spacing w:line="520" w:lineRule="exact"/>
      <w:ind w:left="2240"/>
    </w:pPr>
    <w:rPr>
      <w:rFonts w:eastAsia="標楷體"/>
      <w:sz w:val="32"/>
    </w:rPr>
  </w:style>
  <w:style w:type="paragraph" w:customStyle="1" w:styleId="a4">
    <w:name w:val="說明"/>
    <w:basedOn w:val="a"/>
    <w:pPr>
      <w:wordWrap w:val="0"/>
      <w:snapToGrid w:val="0"/>
      <w:ind w:left="567" w:hanging="567"/>
    </w:pPr>
    <w:rPr>
      <w:rFonts w:eastAsia="標楷體"/>
      <w:sz w:val="32"/>
    </w:rPr>
  </w:style>
  <w:style w:type="paragraph" w:styleId="a5">
    <w:name w:val="Body Text Indent"/>
    <w:basedOn w:val="a"/>
    <w:pPr>
      <w:spacing w:line="540" w:lineRule="exact"/>
      <w:ind w:left="679" w:firstLine="320"/>
    </w:pPr>
    <w:rPr>
      <w:rFonts w:ascii="標楷體" w:eastAsia="標楷體" w:hAnsi="標楷體"/>
      <w:sz w:val="32"/>
    </w:rPr>
  </w:style>
  <w:style w:type="paragraph" w:styleId="a6">
    <w:name w:val="Body Text"/>
    <w:basedOn w:val="a"/>
    <w:rPr>
      <w:rFonts w:eastAsia="標楷體"/>
      <w:sz w:val="32"/>
      <w:szCs w:val="20"/>
    </w:rPr>
  </w:style>
  <w:style w:type="paragraph" w:styleId="a7">
    <w:name w:val="footer"/>
    <w:basedOn w:val="a"/>
    <w:uiPriority w:val="99"/>
    <w:pPr>
      <w:tabs>
        <w:tab w:val="center" w:pos="4153"/>
        <w:tab w:val="right" w:pos="8306"/>
      </w:tabs>
      <w:snapToGrid w:val="0"/>
    </w:pPr>
    <w:rPr>
      <w:sz w:val="20"/>
      <w:szCs w:val="20"/>
    </w:rPr>
  </w:style>
  <w:style w:type="character" w:styleId="a8">
    <w:name w:val="page number"/>
    <w:basedOn w:val="a0"/>
  </w:style>
  <w:style w:type="paragraph" w:styleId="20">
    <w:name w:val="Body Text 2"/>
    <w:basedOn w:val="a"/>
    <w:rPr>
      <w:rFonts w:eastAsia="標楷體"/>
      <w:sz w:val="36"/>
    </w:rPr>
  </w:style>
  <w:style w:type="paragraph" w:customStyle="1" w:styleId="a9">
    <w:name w:val="主旨"/>
    <w:basedOn w:val="a"/>
    <w:pPr>
      <w:wordWrap w:val="0"/>
      <w:snapToGrid w:val="0"/>
    </w:pPr>
    <w:rPr>
      <w:rFonts w:eastAsia="標楷體"/>
      <w:sz w:val="32"/>
      <w:szCs w:val="20"/>
    </w:rPr>
  </w:style>
  <w:style w:type="paragraph" w:styleId="aa">
    <w:name w:val="Block Text"/>
    <w:basedOn w:val="a"/>
    <w:pPr>
      <w:spacing w:line="480" w:lineRule="exact"/>
      <w:ind w:left="720" w:right="31"/>
    </w:pPr>
    <w:rPr>
      <w:rFonts w:ascii="標楷體" w:eastAsia="標楷體" w:hAnsi="標楷體"/>
      <w:sz w:val="32"/>
      <w:szCs w:val="28"/>
    </w:rPr>
  </w:style>
  <w:style w:type="paragraph" w:styleId="ab">
    <w:name w:val="annotation text"/>
    <w:basedOn w:val="a"/>
    <w:rPr>
      <w:rFonts w:eastAsia="標楷體"/>
      <w:sz w:val="32"/>
      <w:szCs w:val="32"/>
    </w:rPr>
  </w:style>
  <w:style w:type="paragraph" w:styleId="ac">
    <w:name w:val="header"/>
    <w:basedOn w:val="a"/>
    <w:pPr>
      <w:tabs>
        <w:tab w:val="center" w:pos="4153"/>
        <w:tab w:val="right" w:pos="8306"/>
      </w:tabs>
      <w:snapToGrid w:val="0"/>
    </w:pPr>
    <w:rPr>
      <w:sz w:val="20"/>
      <w:szCs w:val="20"/>
    </w:rPr>
  </w:style>
  <w:style w:type="paragraph" w:styleId="ad">
    <w:name w:val="Balloon Text"/>
    <w:basedOn w:val="a"/>
    <w:rPr>
      <w:rFonts w:ascii="Arial" w:hAnsi="Arial"/>
      <w:sz w:val="18"/>
      <w:szCs w:val="18"/>
    </w:rPr>
  </w:style>
  <w:style w:type="paragraph" w:customStyle="1" w:styleId="ae">
    <w:name w:val="字元 字元 字元 字元"/>
    <w:basedOn w:val="a"/>
    <w:pPr>
      <w:widowControl/>
      <w:spacing w:after="160" w:line="240" w:lineRule="exact"/>
    </w:pPr>
    <w:rPr>
      <w:rFonts w:ascii="Tahoma" w:hAnsi="Tahoma"/>
      <w:kern w:val="0"/>
      <w:sz w:val="20"/>
      <w:szCs w:val="20"/>
      <w:lang w:eastAsia="en-US"/>
    </w:rPr>
  </w:style>
  <w:style w:type="character" w:customStyle="1" w:styleId="tax2">
    <w:name w:val="tax2"/>
    <w:rPr>
      <w:color w:val="666666"/>
      <w:spacing w:val="320"/>
      <w:sz w:val="21"/>
      <w:szCs w:val="21"/>
    </w:rPr>
  </w:style>
  <w:style w:type="paragraph" w:customStyle="1" w:styleId="af">
    <w:name w:val="字元"/>
    <w:basedOn w:val="a"/>
    <w:pPr>
      <w:widowControl/>
      <w:spacing w:after="160" w:line="240" w:lineRule="exact"/>
    </w:pPr>
    <w:rPr>
      <w:rFonts w:ascii="Tahoma" w:hAnsi="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character" w:customStyle="1" w:styleId="gray12h231">
    <w:name w:val="gray12_h231"/>
    <w:rPr>
      <w:strike w:val="0"/>
      <w:dstrike w:val="0"/>
      <w:color w:val="525252"/>
      <w:spacing w:val="12"/>
      <w:sz w:val="16"/>
      <w:szCs w:val="16"/>
      <w:u w:val="none"/>
    </w:rPr>
  </w:style>
  <w:style w:type="paragraph" w:customStyle="1" w:styleId="af1">
    <w:name w:val="字元"/>
    <w:basedOn w:val="a"/>
    <w:pPr>
      <w:widowControl/>
      <w:spacing w:after="160" w:line="240" w:lineRule="exact"/>
    </w:pPr>
    <w:rPr>
      <w:rFonts w:ascii="Tahoma" w:hAnsi="Tahoma"/>
      <w:kern w:val="0"/>
      <w:sz w:val="20"/>
      <w:szCs w:val="20"/>
      <w:lang w:eastAsia="en-US"/>
    </w:rPr>
  </w:style>
  <w:style w:type="character" w:customStyle="1" w:styleId="tlh108mb">
    <w:name w:val="tlh108 mb"/>
    <w:basedOn w:val="a0"/>
  </w:style>
  <w:style w:type="paragraph" w:styleId="af2">
    <w:name w:val="Document Map"/>
    <w:basedOn w:val="a"/>
    <w:pPr>
      <w:shd w:val="clear" w:color="auto" w:fill="000080"/>
    </w:pPr>
    <w:rPr>
      <w:rFonts w:ascii="Arial" w:hAnsi="Arial"/>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Pr>
      <w:rFonts w:ascii="Arial" w:hAnsi="Arial" w:cs="Arial"/>
      <w:color w:val="666666"/>
      <w:spacing w:val="288"/>
      <w:sz w:val="19"/>
      <w:szCs w:val="19"/>
    </w:rPr>
  </w:style>
  <w:style w:type="paragraph" w:customStyle="1" w:styleId="10">
    <w:name w:val="字元1"/>
    <w:basedOn w:val="a"/>
    <w:pPr>
      <w:widowControl/>
      <w:spacing w:after="160" w:line="240" w:lineRule="exact"/>
    </w:pPr>
    <w:rPr>
      <w:rFonts w:ascii="Tahoma" w:hAnsi="Tahoma"/>
      <w:kern w:val="0"/>
      <w:sz w:val="20"/>
      <w:szCs w:val="20"/>
      <w:lang w:eastAsia="en-US"/>
    </w:rPr>
  </w:style>
  <w:style w:type="paragraph" w:styleId="af3">
    <w:name w:val="List Paragraph"/>
    <w:basedOn w:val="a"/>
    <w:pPr>
      <w:ind w:left="480"/>
    </w:pPr>
    <w:rPr>
      <w:rFonts w:ascii="Calibri" w:hAnsi="Calibri"/>
      <w:szCs w:val="22"/>
    </w:rPr>
  </w:style>
  <w:style w:type="paragraph" w:customStyle="1" w:styleId="af4">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5">
    <w:name w:val="Plain Text"/>
    <w:basedOn w:val="a"/>
    <w:rPr>
      <w:rFonts w:ascii="細明體" w:eastAsia="細明體" w:hAnsi="細明體"/>
      <w:szCs w:val="20"/>
    </w:rPr>
  </w:style>
  <w:style w:type="paragraph" w:customStyle="1" w:styleId="11">
    <w:name w:val="字元1 字元 字元1"/>
    <w:basedOn w:val="a"/>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kern w:val="0"/>
      <w:sz w:val="20"/>
      <w:szCs w:val="20"/>
      <w:lang w:eastAsia="en-US"/>
    </w:rPr>
  </w:style>
  <w:style w:type="paragraph" w:customStyle="1" w:styleId="af6">
    <w:name w:val="( 一)"/>
    <w:pPr>
      <w:suppressAutoHyphens/>
      <w:snapToGrid w:val="0"/>
      <w:spacing w:line="325" w:lineRule="exact"/>
      <w:ind w:left="100" w:hanging="100"/>
    </w:pPr>
    <w:rPr>
      <w:rFonts w:ascii="標楷體" w:eastAsia="標楷體" w:hAnsi="標楷體"/>
      <w:sz w:val="26"/>
    </w:rPr>
  </w:style>
  <w:style w:type="paragraph" w:customStyle="1" w:styleId="af7">
    <w:name w:val="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8">
    <w:name w:val="Salutation"/>
    <w:basedOn w:val="a"/>
    <w:next w:val="a"/>
    <w:rPr>
      <w:rFonts w:ascii="標楷體" w:eastAsia="標楷體" w:hAnsi="標楷體"/>
      <w:sz w:val="28"/>
      <w:szCs w:val="28"/>
    </w:rPr>
  </w:style>
  <w:style w:type="paragraph" w:customStyle="1" w:styleId="af9">
    <w:name w:val="字元 字元 字元 字元 字元"/>
    <w:basedOn w:val="a"/>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style>
  <w:style w:type="character" w:customStyle="1" w:styleId="afa">
    <w:name w:val="頁尾 字元"/>
    <w:uiPriority w:val="99"/>
    <w:rPr>
      <w:kern w:val="3"/>
    </w:rPr>
  </w:style>
  <w:style w:type="character" w:styleId="afb">
    <w:name w:val="Emphasis"/>
    <w:rPr>
      <w:b w:val="0"/>
      <w:bCs w:val="0"/>
      <w:i w:val="0"/>
      <w:iCs w:val="0"/>
      <w:color w:val="DD4B39"/>
    </w:rPr>
  </w:style>
  <w:style w:type="character" w:customStyle="1" w:styleId="afc">
    <w:name w:val="註解文字 字元"/>
    <w:basedOn w:val="a0"/>
    <w:rPr>
      <w:rFonts w:eastAsia="標楷體"/>
      <w:kern w:val="3"/>
      <w:sz w:val="32"/>
      <w:szCs w:val="32"/>
    </w:rPr>
  </w:style>
  <w:style w:type="character" w:styleId="afd">
    <w:name w:val="Hyperlink"/>
    <w:rPr>
      <w:color w:val="0000FF"/>
      <w:u w:val="single"/>
    </w:rPr>
  </w:style>
  <w:style w:type="paragraph" w:customStyle="1" w:styleId="afe">
    <w:name w:val="[基本段落]"/>
    <w:basedOn w:val="a"/>
    <w:pPr>
      <w:autoSpaceDE w:val="0"/>
      <w:spacing w:line="288" w:lineRule="auto"/>
      <w:jc w:val="both"/>
      <w:textAlignment w:val="center"/>
    </w:pPr>
    <w:rPr>
      <w:rFonts w:ascii="微軟正黑體" w:eastAsia="微軟正黑體" w:hAnsi="微軟正黑體"/>
      <w:color w:val="000000"/>
      <w:kern w:val="0"/>
      <w:lang w:val="zh-TW"/>
    </w:rPr>
  </w:style>
  <w:style w:type="paragraph" w:customStyle="1" w:styleId="100">
    <w:name w:val="(1)0標題"/>
    <w:basedOn w:val="a"/>
    <w:pPr>
      <w:snapToGrid w:val="0"/>
      <w:ind w:left="2098" w:hanging="480"/>
      <w:jc w:val="both"/>
    </w:pPr>
    <w:rPr>
      <w:rFonts w:ascii="標楷體" w:eastAsia="標楷體" w:hAnsi="標楷體"/>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01">
    <w:name w:val="01.內文"/>
    <w:basedOn w:val="a"/>
    <w:pPr>
      <w:snapToGrid w:val="0"/>
      <w:ind w:left="1680" w:firstLine="640"/>
      <w:jc w:val="both"/>
    </w:pPr>
    <w:rPr>
      <w:rFonts w:ascii="標楷體" w:eastAsia="標楷體" w:hAnsi="標楷體"/>
      <w:color w:val="0000FF"/>
      <w:sz w:val="32"/>
      <w:szCs w:val="32"/>
    </w:rPr>
  </w:style>
  <w:style w:type="paragraph" w:customStyle="1" w:styleId="Standard">
    <w:name w:val="Standard"/>
    <w:pPr>
      <w:widowControl w:val="0"/>
      <w:suppressAutoHyphens/>
    </w:pPr>
    <w:rPr>
      <w:rFonts w:ascii="標楷體" w:eastAsia="標楷體" w:hAnsi="標楷體"/>
      <w:kern w:val="3"/>
      <w:sz w:val="28"/>
    </w:rPr>
  </w:style>
  <w:style w:type="character" w:customStyle="1" w:styleId="010">
    <w:name w:val="01.內文 字元"/>
    <w:rPr>
      <w:rFonts w:ascii="標楷體" w:eastAsia="標楷體" w:hAnsi="標楷體"/>
      <w:color w:val="0000FF"/>
      <w:kern w:val="3"/>
      <w:sz w:val="32"/>
      <w:szCs w:val="32"/>
    </w:rPr>
  </w:style>
  <w:style w:type="character" w:customStyle="1" w:styleId="13">
    <w:name w:val="(1)第一標題 字元"/>
    <w:rPr>
      <w:rFonts w:ascii="標楷體" w:eastAsia="標楷體" w:hAnsi="標楷體"/>
      <w:color w:val="FF0000"/>
      <w:kern w:val="3"/>
      <w:sz w:val="32"/>
      <w:szCs w:val="32"/>
      <w:lang w:val="en-US" w:eastAsia="zh-TW" w:bidi="ar-SA"/>
    </w:rPr>
  </w:style>
  <w:style w:type="paragraph" w:styleId="8">
    <w:name w:val="toc 8"/>
    <w:basedOn w:val="a"/>
    <w:next w:val="a"/>
    <w:autoRedefine/>
    <w:pPr>
      <w:ind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b.pcc.gov.tw/prkms/urlSelector/common/tpam?pk=NzAxMzk0ND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pcc.gov.tw/prkms/urlSelector/common/tpam?pk=NzAxOTE2MD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5</cp:revision>
  <cp:lastPrinted>2023-01-16T06:49:00Z</cp:lastPrinted>
  <dcterms:created xsi:type="dcterms:W3CDTF">2023-01-30T02:16:00Z</dcterms:created>
  <dcterms:modified xsi:type="dcterms:W3CDTF">2023-02-13T07:19:00Z</dcterms:modified>
</cp:coreProperties>
</file>