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E983A" w14:textId="77777777" w:rsidR="005E4A27" w:rsidRPr="007D52DD" w:rsidRDefault="005E4A27" w:rsidP="0004195F">
      <w:pPr>
        <w:pStyle w:val="affffffff4"/>
        <w:spacing w:afterLines="100" w:after="360"/>
        <w:rPr>
          <w:color w:val="000000" w:themeColor="text1"/>
          <w:sz w:val="54"/>
          <w:szCs w:val="54"/>
        </w:rPr>
      </w:pPr>
      <w:r w:rsidRPr="007D52DD">
        <w:rPr>
          <w:rFonts w:hint="eastAsia"/>
          <w:color w:val="000000" w:themeColor="text1"/>
          <w:sz w:val="54"/>
          <w:szCs w:val="54"/>
        </w:rPr>
        <w:t>貳、財　政</w:t>
      </w:r>
    </w:p>
    <w:p w14:paraId="2022EE4C" w14:textId="77777777" w:rsidR="00297AAD" w:rsidRPr="007D52DD" w:rsidRDefault="00297AAD" w:rsidP="00087531">
      <w:pPr>
        <w:pStyle w:val="af2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kern w:val="0"/>
          <w:sz w:val="30"/>
          <w:szCs w:val="30"/>
        </w:rPr>
      </w:pPr>
      <w:r w:rsidRPr="007D52DD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一、財務管理</w:t>
      </w:r>
    </w:p>
    <w:p w14:paraId="0D956BEE" w14:textId="41F1C90D" w:rsidR="001B7EE0" w:rsidRPr="007D52DD" w:rsidRDefault="00297AAD" w:rsidP="001B7EE0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（一）</w:t>
      </w:r>
      <w:proofErr w:type="gramStart"/>
      <w:r w:rsidR="001B7EE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111</w:t>
      </w:r>
      <w:proofErr w:type="gramEnd"/>
      <w:r w:rsidR="001B7EE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年度截至12月</w:t>
      </w:r>
      <w:r w:rsidR="00E71A63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底</w:t>
      </w:r>
      <w:r w:rsidR="001B7EE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歲入執行(入庫數)情形表</w:t>
      </w:r>
    </w:p>
    <w:p w14:paraId="385A300D" w14:textId="77777777" w:rsidR="001B7EE0" w:rsidRPr="007D52DD" w:rsidRDefault="001B7EE0" w:rsidP="001B7EE0">
      <w:pPr>
        <w:spacing w:line="480" w:lineRule="exact"/>
        <w:ind w:leftChars="100" w:left="240"/>
        <w:jc w:val="right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7D52DD">
        <w:rPr>
          <w:rFonts w:ascii="標楷體" w:eastAsia="標楷體" w:hAnsi="標楷體" w:hint="eastAsia"/>
          <w:color w:val="000000" w:themeColor="text1"/>
          <w:spacing w:val="-4"/>
          <w:sz w:val="22"/>
          <w:szCs w:val="28"/>
        </w:rPr>
        <w:t>單位:億元</w:t>
      </w:r>
    </w:p>
    <w:tbl>
      <w:tblPr>
        <w:tblW w:w="7800" w:type="dxa"/>
        <w:tblInd w:w="1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1844"/>
        <w:gridCol w:w="1985"/>
        <w:gridCol w:w="1940"/>
        <w:gridCol w:w="2031"/>
      </w:tblGrid>
      <w:tr w:rsidR="007D52DD" w:rsidRPr="007D52DD" w14:paraId="7258152C" w14:textId="77777777" w:rsidTr="001B7EE0">
        <w:trPr>
          <w:cantSplit/>
          <w:trHeight w:val="6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2B1A" w14:textId="77777777" w:rsidR="001B7EE0" w:rsidRPr="007D52DD" w:rsidRDefault="001B7EE0" w:rsidP="001B7EE0">
            <w:pPr>
              <w:spacing w:line="48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701E" w14:textId="77777777" w:rsidR="001B7EE0" w:rsidRPr="007D52DD" w:rsidRDefault="001B7EE0" w:rsidP="001B7EE0">
            <w:pPr>
              <w:spacing w:line="480" w:lineRule="exac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預 算 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097D" w14:textId="77777777" w:rsidR="001B7EE0" w:rsidRPr="007D52DD" w:rsidRDefault="001B7EE0" w:rsidP="001B7EE0">
            <w:pPr>
              <w:spacing w:line="480" w:lineRule="exac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執行情形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76CB0B" w14:textId="77777777" w:rsidR="001B7EE0" w:rsidRPr="007D52DD" w:rsidRDefault="001B7EE0" w:rsidP="001B7EE0">
            <w:pPr>
              <w:spacing w:line="48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執行率%</w:t>
            </w:r>
          </w:p>
        </w:tc>
      </w:tr>
      <w:tr w:rsidR="007D52DD" w:rsidRPr="007D52DD" w14:paraId="5B26998C" w14:textId="77777777" w:rsidTr="001B7EE0">
        <w:trPr>
          <w:cantSplit/>
          <w:trHeight w:val="3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3152" w14:textId="77777777" w:rsidR="001B7EE0" w:rsidRPr="007D52DD" w:rsidRDefault="001B7EE0" w:rsidP="001B7EE0">
            <w:pPr>
              <w:spacing w:line="440" w:lineRule="exact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稅課收入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E5D6" w14:textId="77777777" w:rsidR="001B7EE0" w:rsidRPr="007D52DD" w:rsidRDefault="001B7EE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794.91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34C9" w14:textId="77777777" w:rsidR="001B7EE0" w:rsidRPr="007D52DD" w:rsidRDefault="001B7EE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792</w:t>
            </w: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.58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A0C807" w14:textId="77777777" w:rsidR="001B7EE0" w:rsidRPr="007D52DD" w:rsidRDefault="001B7EE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99.71</w:t>
            </w:r>
          </w:p>
        </w:tc>
      </w:tr>
      <w:tr w:rsidR="007D52DD" w:rsidRPr="007D52DD" w14:paraId="394B8293" w14:textId="77777777" w:rsidTr="001B7EE0">
        <w:trPr>
          <w:cantSplit/>
          <w:trHeight w:val="30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6400" w14:textId="77777777" w:rsidR="001B7EE0" w:rsidRPr="007D52DD" w:rsidRDefault="001B7EE0" w:rsidP="001B7EE0">
            <w:pPr>
              <w:spacing w:line="440" w:lineRule="exact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非稅課</w:t>
            </w:r>
            <w:proofErr w:type="gramEnd"/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收入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5387" w14:textId="77777777" w:rsidR="001B7EE0" w:rsidRPr="007D52DD" w:rsidRDefault="001B7EE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207.97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41E1" w14:textId="77777777" w:rsidR="001B7EE0" w:rsidRPr="007D52DD" w:rsidRDefault="001B7EE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182.11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FB146E" w14:textId="77777777" w:rsidR="001B7EE0" w:rsidRPr="007D52DD" w:rsidRDefault="001B7EE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87</w:t>
            </w: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.57</w:t>
            </w:r>
          </w:p>
        </w:tc>
      </w:tr>
      <w:tr w:rsidR="007D52DD" w:rsidRPr="007D52DD" w14:paraId="57CCDECB" w14:textId="77777777" w:rsidTr="001B7EE0">
        <w:trPr>
          <w:cantSplit/>
          <w:trHeight w:val="28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073D" w14:textId="77777777" w:rsidR="001B7EE0" w:rsidRPr="007D52DD" w:rsidRDefault="001B7EE0" w:rsidP="001B7EE0">
            <w:pPr>
              <w:spacing w:line="440" w:lineRule="exact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補助收入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6DB9" w14:textId="77777777" w:rsidR="001B7EE0" w:rsidRPr="007D52DD" w:rsidRDefault="001B7EE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452.68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45BF" w14:textId="77777777" w:rsidR="001B7EE0" w:rsidRPr="007D52DD" w:rsidRDefault="001B7EE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421</w:t>
            </w: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.43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498DAD" w14:textId="77777777" w:rsidR="001B7EE0" w:rsidRPr="007D52DD" w:rsidRDefault="001B7EE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93.10</w:t>
            </w:r>
          </w:p>
        </w:tc>
      </w:tr>
      <w:tr w:rsidR="007D52DD" w:rsidRPr="007D52DD" w14:paraId="042D2F05" w14:textId="77777777" w:rsidTr="001B7EE0">
        <w:trPr>
          <w:cantSplit/>
          <w:trHeight w:val="26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8BED62" w14:textId="77777777" w:rsidR="001B7EE0" w:rsidRPr="007D52DD" w:rsidRDefault="001B7EE0" w:rsidP="001B7EE0">
            <w:pPr>
              <w:spacing w:line="440" w:lineRule="exact"/>
              <w:jc w:val="distribut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1EA810" w14:textId="77777777" w:rsidR="001B7EE0" w:rsidRPr="007D52DD" w:rsidRDefault="001B7EE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1,455.56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223107" w14:textId="77777777" w:rsidR="001B7EE0" w:rsidRPr="007D52DD" w:rsidRDefault="001B7EE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1,</w:t>
            </w:r>
            <w:r w:rsidRPr="007D52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396</w:t>
            </w:r>
            <w:r w:rsidRPr="007D52DD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BF8A66" w14:textId="77777777" w:rsidR="001B7EE0" w:rsidRPr="007D52DD" w:rsidRDefault="001B7EE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95.92</w:t>
            </w:r>
          </w:p>
        </w:tc>
      </w:tr>
    </w:tbl>
    <w:p w14:paraId="54717CA0" w14:textId="77777777" w:rsidR="001B7EE0" w:rsidRPr="007D52DD" w:rsidRDefault="001B7EE0" w:rsidP="007D52DD">
      <w:pPr>
        <w:spacing w:line="390" w:lineRule="exact"/>
        <w:ind w:leftChars="530" w:left="1752" w:hangingChars="20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proofErr w:type="gramStart"/>
      <w:r w:rsidRPr="007D52D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註</w:t>
      </w:r>
      <w:proofErr w:type="gramEnd"/>
      <w:r w:rsidRPr="007D52D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：</w:t>
      </w:r>
      <w:proofErr w:type="gramStart"/>
      <w:r w:rsidRPr="007D52D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111</w:t>
      </w:r>
      <w:proofErr w:type="gramEnd"/>
      <w:r w:rsidRPr="007D52D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年度帳</w:t>
      </w:r>
      <w:proofErr w:type="gramStart"/>
      <w:r w:rsidRPr="007D52D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務</w:t>
      </w:r>
      <w:proofErr w:type="gramEnd"/>
      <w:r w:rsidRPr="007D52D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整理期截至112年1月13日止，尚有應收及保留款辦理決算中。</w:t>
      </w:r>
    </w:p>
    <w:p w14:paraId="20C6ED9A" w14:textId="11FCE55A" w:rsidR="001B7EE0" w:rsidRPr="007D52DD" w:rsidRDefault="001B7EE0" w:rsidP="007D52DD">
      <w:pPr>
        <w:widowControl/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（二</w:t>
      </w:r>
      <w:r w:rsidR="00093C12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主要收入分析如下</w:t>
      </w:r>
    </w:p>
    <w:p w14:paraId="0A9600DE" w14:textId="09B2CE11" w:rsidR="001B7EE0" w:rsidRPr="007D52DD" w:rsidRDefault="001B7EE0" w:rsidP="007D52DD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1.稅課收入：預算數794.91億元，截至12月</w:t>
      </w:r>
      <w:r w:rsidR="00E71A63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底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執行數792.58億元，其中地價稅較預算數增加3.54億元，土地增值稅較預算數減少6.46億元，房屋稅較預算數增加0.92億元，使用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牌照稅較算數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增加1.61億元，印花稅較預算數增加3.69億元，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遺贈稅較預算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數增加4.77億元。</w:t>
      </w:r>
    </w:p>
    <w:p w14:paraId="37AC08E9" w14:textId="45E45E6A" w:rsidR="001B7EE0" w:rsidRPr="007D52DD" w:rsidRDefault="001B7EE0" w:rsidP="007D52DD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2.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非稅課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收入：預算數207.97億元，截至12月</w:t>
      </w:r>
      <w:r w:rsidR="00E71A63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底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執行數182.11億元，其中罰款及賠償收入較預算數增加10.55億元，規費收入較預算數增加1.22億元，財產收入較預算數增加1.49億元，其他收入較預算數減少2.19億元。</w:t>
      </w:r>
    </w:p>
    <w:p w14:paraId="34E41A5C" w14:textId="674C65BC" w:rsidR="00D276B0" w:rsidRPr="007D52DD" w:rsidRDefault="001B7EE0" w:rsidP="007D52DD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3.補助收入：預算數452.68億元，截至12月</w:t>
      </w:r>
      <w:r w:rsidR="00E71A63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底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執行數421.43億元，較預算數減少31.25億元。</w:t>
      </w:r>
    </w:p>
    <w:p w14:paraId="589E7139" w14:textId="6A78FC7C" w:rsidR="00704540" w:rsidRPr="007D52DD" w:rsidRDefault="00087531" w:rsidP="007D52DD">
      <w:pPr>
        <w:widowControl/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133F7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三</w:t>
      </w:r>
      <w:r w:rsidR="00093C12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BF552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截至111年12</w:t>
      </w:r>
      <w:r w:rsidR="00E71A63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月底</w:t>
      </w:r>
      <w:r w:rsidR="00BF552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高雄市各種債務及未來給付責任情形表</w:t>
      </w:r>
    </w:p>
    <w:p w14:paraId="48296884" w14:textId="41548CE4" w:rsidR="00116551" w:rsidRPr="007D52DD" w:rsidRDefault="00116551" w:rsidP="007D52DD">
      <w:pPr>
        <w:widowControl/>
        <w:suppressAutoHyphens/>
        <w:overflowPunct w:val="0"/>
        <w:autoSpaceDN w:val="0"/>
        <w:snapToGrid w:val="0"/>
        <w:spacing w:line="34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.依「公共債務法」規範每月公告之債務：</w:t>
      </w:r>
    </w:p>
    <w:p w14:paraId="779B6046" w14:textId="20A21105" w:rsidR="00116551" w:rsidRPr="007D52DD" w:rsidRDefault="00116551" w:rsidP="003F442C">
      <w:pPr>
        <w:tabs>
          <w:tab w:val="num" w:pos="3360"/>
        </w:tabs>
        <w:snapToGrid w:val="0"/>
        <w:spacing w:line="460" w:lineRule="exact"/>
        <w:ind w:leftChars="468" w:left="1123" w:firstLineChars="3280" w:firstLine="6954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7D52DD">
        <w:rPr>
          <w:rFonts w:ascii="標楷體" w:eastAsia="標楷體" w:hAnsi="標楷體" w:hint="eastAsia"/>
          <w:color w:val="000000" w:themeColor="text1"/>
          <w:spacing w:val="-4"/>
          <w:sz w:val="22"/>
          <w:szCs w:val="28"/>
        </w:rPr>
        <w:t>單位:億元</w:t>
      </w:r>
    </w:p>
    <w:tbl>
      <w:tblPr>
        <w:tblW w:w="7397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3116"/>
        <w:gridCol w:w="1224"/>
        <w:gridCol w:w="1224"/>
      </w:tblGrid>
      <w:tr w:rsidR="007D52DD" w:rsidRPr="007D52DD" w14:paraId="3137E297" w14:textId="77777777" w:rsidTr="007D52DD">
        <w:trPr>
          <w:trHeight w:val="455"/>
          <w:jc w:val="right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A57" w14:textId="77777777" w:rsidR="008112C9" w:rsidRPr="007D52DD" w:rsidRDefault="008112C9" w:rsidP="00D276B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債務類別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3519CB" w14:textId="77777777" w:rsidR="008112C9" w:rsidRPr="007D52DD" w:rsidRDefault="008112C9" w:rsidP="00D276B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名稱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4096" w14:textId="77777777" w:rsidR="008112C9" w:rsidRPr="007D52DD" w:rsidRDefault="008112C9" w:rsidP="00D276B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金額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98B0B" w14:textId="77777777" w:rsidR="008112C9" w:rsidRPr="007D52DD" w:rsidRDefault="008112C9" w:rsidP="00D276B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合計</w:t>
            </w:r>
          </w:p>
        </w:tc>
      </w:tr>
      <w:tr w:rsidR="007D52DD" w:rsidRPr="007D52DD" w14:paraId="24F7D0EA" w14:textId="77777777" w:rsidTr="003F442C">
        <w:trPr>
          <w:trHeight w:val="434"/>
          <w:jc w:val="right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A2B" w14:textId="77777777" w:rsidR="008112C9" w:rsidRPr="007D52DD" w:rsidRDefault="008112C9" w:rsidP="00D276B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1年以上</w:t>
            </w:r>
          </w:p>
          <w:p w14:paraId="3BE7B01E" w14:textId="77777777" w:rsidR="008112C9" w:rsidRPr="007D52DD" w:rsidRDefault="008112C9" w:rsidP="00D276B0">
            <w:pPr>
              <w:spacing w:line="280" w:lineRule="exact"/>
              <w:ind w:leftChars="-15" w:left="-2" w:hangingChars="12" w:hanging="34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非自償債</w:t>
            </w:r>
            <w:proofErr w:type="gramStart"/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務</w:t>
            </w:r>
            <w:proofErr w:type="gramEnd"/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956" w14:textId="77777777" w:rsidR="008112C9" w:rsidRPr="007D52DD" w:rsidRDefault="008112C9" w:rsidP="00D276B0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總預算借款及公債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64B4C" w14:textId="525F6604" w:rsidR="008112C9" w:rsidRPr="007D52DD" w:rsidRDefault="00946F50" w:rsidP="00093C12">
            <w:pPr>
              <w:snapToGrid w:val="0"/>
              <w:spacing w:afterLines="10" w:after="36" w:line="460" w:lineRule="exact"/>
              <w:ind w:leftChars="10" w:left="24" w:rightChars="10" w:right="24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Pr="007D52DD">
              <w:rPr>
                <w:rFonts w:ascii="標楷體" w:eastAsia="標楷體" w:hAnsi="標楷體"/>
                <w:color w:val="000000" w:themeColor="text1"/>
                <w:sz w:val="28"/>
              </w:rPr>
              <w:t>,</w:t>
            </w: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228.25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38164" w14:textId="6066E926" w:rsidR="008112C9" w:rsidRPr="007D52DD" w:rsidRDefault="00946F50" w:rsidP="00093C12">
            <w:pPr>
              <w:snapToGrid w:val="0"/>
              <w:spacing w:afterLines="10" w:after="36" w:line="460" w:lineRule="exact"/>
              <w:ind w:leftChars="10" w:left="24" w:rightChars="10" w:right="24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2,</w:t>
            </w:r>
            <w:r w:rsidRPr="007D52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387</w:t>
            </w:r>
            <w:r w:rsidRPr="007D52DD">
              <w:rPr>
                <w:rFonts w:ascii="標楷體" w:eastAsia="標楷體" w:hAnsi="標楷體"/>
                <w:color w:val="000000" w:themeColor="text1"/>
                <w:sz w:val="28"/>
              </w:rPr>
              <w:t>.28</w:t>
            </w:r>
          </w:p>
        </w:tc>
      </w:tr>
      <w:tr w:rsidR="007D52DD" w:rsidRPr="007D52DD" w14:paraId="771029AB" w14:textId="77777777" w:rsidTr="003F442C">
        <w:trPr>
          <w:trHeight w:val="493"/>
          <w:jc w:val="right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76F3" w14:textId="77777777" w:rsidR="008112C9" w:rsidRPr="007D52DD" w:rsidRDefault="008112C9" w:rsidP="00D276B0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F3B" w14:textId="77777777" w:rsidR="008112C9" w:rsidRPr="007D52DD" w:rsidRDefault="008112C9" w:rsidP="00D276B0">
            <w:pPr>
              <w:spacing w:line="280" w:lineRule="exact"/>
              <w:rPr>
                <w:rFonts w:ascii="標楷體" w:eastAsia="標楷體" w:hAnsi="標楷體"/>
                <w:color w:val="000000" w:themeColor="text1"/>
                <w:spacing w:val="-8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pacing w:val="-8"/>
                <w:sz w:val="28"/>
              </w:rPr>
              <w:t>捷運局捷運建設基金借款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6B3F0" w14:textId="3C992AA3" w:rsidR="008112C9" w:rsidRPr="007D52DD" w:rsidRDefault="00946F50" w:rsidP="00093C12">
            <w:pPr>
              <w:snapToGrid w:val="0"/>
              <w:spacing w:afterLines="10" w:after="36" w:line="460" w:lineRule="exact"/>
              <w:ind w:rightChars="10" w:right="24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Pr="007D52DD">
              <w:rPr>
                <w:rFonts w:ascii="標楷體" w:eastAsia="標楷體" w:hAnsi="標楷體"/>
                <w:color w:val="000000" w:themeColor="text1"/>
                <w:sz w:val="28"/>
              </w:rPr>
              <w:t>59.03</w:t>
            </w: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1DF4B" w14:textId="77777777" w:rsidR="008112C9" w:rsidRPr="007D52DD" w:rsidRDefault="008112C9" w:rsidP="00093C12">
            <w:pPr>
              <w:spacing w:afterLines="10" w:after="36" w:line="2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7D52DD" w:rsidRPr="007D52DD" w14:paraId="150F4065" w14:textId="77777777" w:rsidTr="003F442C">
        <w:trPr>
          <w:trHeight w:val="473"/>
          <w:jc w:val="right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4C4" w14:textId="77777777" w:rsidR="008112C9" w:rsidRPr="007D52DD" w:rsidRDefault="008112C9" w:rsidP="00D276B0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未滿1年債務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F8E" w14:textId="77777777" w:rsidR="008112C9" w:rsidRPr="007D52DD" w:rsidRDefault="008112C9" w:rsidP="00D276B0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市</w:t>
            </w: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庫短期借款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7D7F2" w14:textId="5B05745F" w:rsidR="008112C9" w:rsidRPr="007D52DD" w:rsidRDefault="00946F50" w:rsidP="00093C12">
            <w:pPr>
              <w:spacing w:afterLines="10" w:after="36" w:line="280" w:lineRule="exact"/>
              <w:jc w:val="right"/>
              <w:rPr>
                <w:rFonts w:ascii="標楷體" w:eastAsia="標楷體" w:hAnsi="標楷體"/>
                <w:bCs/>
                <w:iCs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bCs/>
                <w:iCs/>
                <w:color w:val="000000" w:themeColor="text1"/>
                <w:sz w:val="2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44530" w14:textId="14AE4852" w:rsidR="00946F50" w:rsidRPr="007D52DD" w:rsidRDefault="00946F50" w:rsidP="00093C12">
            <w:pPr>
              <w:spacing w:afterLines="10" w:after="36" w:line="2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</w:tr>
      <w:tr w:rsidR="007D52DD" w:rsidRPr="007D52DD" w14:paraId="540AAC9C" w14:textId="77777777" w:rsidTr="003F442C">
        <w:trPr>
          <w:trHeight w:val="25"/>
          <w:jc w:val="right"/>
        </w:trPr>
        <w:tc>
          <w:tcPr>
            <w:tcW w:w="6439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62335" w14:textId="77777777" w:rsidR="008112C9" w:rsidRPr="007D52DD" w:rsidRDefault="008112C9" w:rsidP="00D276B0">
            <w:pPr>
              <w:spacing w:line="28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依「公共債務法」規範每月公告之受限債務合計</w:t>
            </w:r>
          </w:p>
        </w:tc>
        <w:tc>
          <w:tcPr>
            <w:tcW w:w="95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16ACB" w14:textId="6AC76385" w:rsidR="008112C9" w:rsidRPr="007D52DD" w:rsidRDefault="00946F50" w:rsidP="00093C12">
            <w:pPr>
              <w:snapToGrid w:val="0"/>
              <w:spacing w:line="460" w:lineRule="exact"/>
              <w:ind w:rightChars="10" w:right="24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D52DD">
              <w:rPr>
                <w:rFonts w:ascii="標楷體" w:eastAsia="標楷體" w:hAnsi="標楷體" w:hint="eastAsia"/>
                <w:color w:val="000000" w:themeColor="text1"/>
                <w:sz w:val="28"/>
              </w:rPr>
              <w:t>2,</w:t>
            </w:r>
            <w:r w:rsidRPr="007D52DD">
              <w:rPr>
                <w:rFonts w:ascii="標楷體" w:eastAsia="標楷體" w:hAnsi="標楷體"/>
                <w:color w:val="000000" w:themeColor="text1"/>
                <w:sz w:val="28"/>
              </w:rPr>
              <w:t>387.28</w:t>
            </w:r>
          </w:p>
        </w:tc>
      </w:tr>
    </w:tbl>
    <w:p w14:paraId="3C629806" w14:textId="23F49B34" w:rsidR="00116551" w:rsidRPr="007D52DD" w:rsidRDefault="00116551" w:rsidP="003F442C">
      <w:pPr>
        <w:tabs>
          <w:tab w:val="num" w:pos="3360"/>
        </w:tabs>
        <w:snapToGrid w:val="0"/>
        <w:spacing w:line="460" w:lineRule="exact"/>
        <w:ind w:firstLineChars="733" w:firstLine="1701"/>
        <w:jc w:val="both"/>
        <w:rPr>
          <w:rFonts w:ascii="標楷體" w:eastAsia="標楷體" w:hAnsi="標楷體"/>
          <w:color w:val="000000" w:themeColor="text1"/>
          <w:spacing w:val="-4"/>
          <w:szCs w:val="28"/>
        </w:rPr>
      </w:pPr>
      <w:proofErr w:type="gramStart"/>
      <w:r w:rsidRPr="007D52DD">
        <w:rPr>
          <w:rFonts w:ascii="標楷體" w:eastAsia="標楷體" w:hAnsi="標楷體" w:hint="eastAsia"/>
          <w:color w:val="000000" w:themeColor="text1"/>
          <w:spacing w:val="-4"/>
          <w:szCs w:val="28"/>
        </w:rPr>
        <w:t>註</w:t>
      </w:r>
      <w:proofErr w:type="gramEnd"/>
      <w:r w:rsidRPr="007D52DD">
        <w:rPr>
          <w:rFonts w:ascii="標楷體" w:eastAsia="標楷體" w:hAnsi="標楷體" w:hint="eastAsia"/>
          <w:color w:val="000000" w:themeColor="text1"/>
          <w:spacing w:val="-4"/>
          <w:szCs w:val="28"/>
        </w:rPr>
        <w:t>:各縣市依財政部規定公告之受限債務。</w:t>
      </w:r>
    </w:p>
    <w:p w14:paraId="2D6EEAE8" w14:textId="2A231265" w:rsidR="00116551" w:rsidRPr="007D52DD" w:rsidRDefault="00116551" w:rsidP="00087531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lastRenderedPageBreak/>
        <w:t>2.依財政部規定公告之非營業特種基金「自償性」債務：</w:t>
      </w:r>
    </w:p>
    <w:p w14:paraId="0A1716A9" w14:textId="52102837" w:rsidR="00297AAD" w:rsidRPr="007D52DD" w:rsidRDefault="00297AAD" w:rsidP="003F442C">
      <w:pPr>
        <w:tabs>
          <w:tab w:val="num" w:pos="3360"/>
        </w:tabs>
        <w:snapToGrid w:val="0"/>
        <w:spacing w:line="460" w:lineRule="exact"/>
        <w:ind w:leftChars="468" w:left="1123" w:firstLineChars="3250" w:firstLine="6890"/>
        <w:jc w:val="both"/>
        <w:rPr>
          <w:rFonts w:ascii="標楷體" w:eastAsia="標楷體" w:hAnsi="標楷體"/>
          <w:color w:val="000000" w:themeColor="text1"/>
          <w:spacing w:val="-4"/>
          <w:sz w:val="22"/>
          <w:szCs w:val="28"/>
        </w:rPr>
      </w:pPr>
      <w:r w:rsidRPr="007D52DD">
        <w:rPr>
          <w:rFonts w:ascii="標楷體" w:eastAsia="標楷體" w:hAnsi="標楷體" w:hint="eastAsia"/>
          <w:color w:val="000000" w:themeColor="text1"/>
          <w:spacing w:val="-4"/>
          <w:sz w:val="22"/>
          <w:szCs w:val="28"/>
        </w:rPr>
        <w:t>單位:億元</w:t>
      </w:r>
    </w:p>
    <w:tbl>
      <w:tblPr>
        <w:tblW w:w="7333" w:type="dxa"/>
        <w:tblInd w:w="17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263"/>
        <w:gridCol w:w="1108"/>
      </w:tblGrid>
      <w:tr w:rsidR="007D52DD" w:rsidRPr="007D52DD" w14:paraId="7EF6A5B1" w14:textId="77777777" w:rsidTr="00093C12">
        <w:trPr>
          <w:trHeight w:val="54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E4D" w14:textId="77777777" w:rsidR="00116551" w:rsidRPr="007D52DD" w:rsidRDefault="0011655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債務類別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0CF96" w14:textId="77777777" w:rsidR="00116551" w:rsidRPr="007D52DD" w:rsidRDefault="0011655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8F80" w14:textId="77777777" w:rsidR="00116551" w:rsidRPr="007D52DD" w:rsidRDefault="0011655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5EB74" w14:textId="77777777" w:rsidR="00116551" w:rsidRPr="007D52DD" w:rsidRDefault="0011655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合計</w:t>
            </w:r>
          </w:p>
        </w:tc>
      </w:tr>
      <w:tr w:rsidR="007D52DD" w:rsidRPr="007D52DD" w14:paraId="077F7334" w14:textId="77777777" w:rsidTr="00093C12">
        <w:trPr>
          <w:trHeight w:val="48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E5C" w14:textId="77777777" w:rsidR="00116551" w:rsidRPr="007D52DD" w:rsidRDefault="00116551" w:rsidP="00087531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自償性債務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B163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高坪特定區開發計畫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97075E" w14:textId="05E7C432" w:rsidR="00116551" w:rsidRPr="007D52DD" w:rsidRDefault="00023D3C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D52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.53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28A47" w14:textId="4A7ABCDB" w:rsidR="00116551" w:rsidRPr="007D52DD" w:rsidRDefault="00946F50" w:rsidP="00093C12">
            <w:pPr>
              <w:snapToGrid w:val="0"/>
              <w:spacing w:line="460" w:lineRule="exact"/>
              <w:ind w:rightChars="10" w:right="24"/>
              <w:jc w:val="righ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12.45</w:t>
            </w:r>
          </w:p>
        </w:tc>
      </w:tr>
      <w:tr w:rsidR="007D52DD" w:rsidRPr="007D52DD" w14:paraId="74F8BA75" w14:textId="77777777" w:rsidTr="00093C12">
        <w:trPr>
          <w:trHeight w:val="48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4837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3E8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住宅基金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222186" w14:textId="37602635" w:rsidR="00116551" w:rsidRPr="007D52DD" w:rsidRDefault="00946F5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4.51</w:t>
            </w:r>
          </w:p>
        </w:tc>
        <w:tc>
          <w:tcPr>
            <w:tcW w:w="11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CEE24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</w:p>
        </w:tc>
      </w:tr>
      <w:tr w:rsidR="007D52DD" w:rsidRPr="007D52DD" w14:paraId="5CC15DA4" w14:textId="77777777" w:rsidTr="00093C12">
        <w:trPr>
          <w:trHeight w:val="48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237A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44C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公教輔購住宅基金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08B33" w14:textId="49C340EC" w:rsidR="00116551" w:rsidRPr="007D52DD" w:rsidRDefault="00946F5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0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1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8D0DC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</w:p>
        </w:tc>
      </w:tr>
      <w:tr w:rsidR="007D52DD" w:rsidRPr="007D52DD" w14:paraId="1C5BB625" w14:textId="77777777" w:rsidTr="00093C12">
        <w:trPr>
          <w:trHeight w:val="48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45A2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FE4B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大眾捷運土地開發基金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193DB0" w14:textId="4D230C26" w:rsidR="00116551" w:rsidRPr="007D52DD" w:rsidRDefault="00946F5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D52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.14</w:t>
            </w:r>
          </w:p>
        </w:tc>
        <w:tc>
          <w:tcPr>
            <w:tcW w:w="11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0885B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</w:p>
        </w:tc>
      </w:tr>
      <w:tr w:rsidR="007D52DD" w:rsidRPr="007D52DD" w14:paraId="1B98B051" w14:textId="77777777" w:rsidTr="00093C12">
        <w:trPr>
          <w:trHeight w:val="48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6DEE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F7AF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產業園區開發管理基金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5AE592" w14:textId="32675955" w:rsidR="00116551" w:rsidRPr="007D52DD" w:rsidRDefault="00946F5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8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5.59</w:t>
            </w:r>
          </w:p>
        </w:tc>
        <w:tc>
          <w:tcPr>
            <w:tcW w:w="11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25C238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</w:p>
        </w:tc>
      </w:tr>
      <w:tr w:rsidR="007D52DD" w:rsidRPr="007D52DD" w14:paraId="7E018B56" w14:textId="77777777" w:rsidTr="00093C12">
        <w:trPr>
          <w:trHeight w:val="48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E253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E41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市有財產開發基金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7DA73A" w14:textId="25AE0C38" w:rsidR="00116551" w:rsidRPr="007D52DD" w:rsidRDefault="00946F50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</w:t>
            </w:r>
            <w:r w:rsidRPr="007D52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11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854053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</w:p>
        </w:tc>
      </w:tr>
      <w:tr w:rsidR="007D52DD" w:rsidRPr="007D52DD" w14:paraId="05F3F179" w14:textId="77777777" w:rsidTr="00093C12">
        <w:trPr>
          <w:trHeight w:val="48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649F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DD57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平均地權基金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FBB0136" w14:textId="4A9D1C7D" w:rsidR="00116551" w:rsidRPr="007D52DD" w:rsidRDefault="00023D3C" w:rsidP="00093C12">
            <w:pPr>
              <w:snapToGrid w:val="0"/>
              <w:spacing w:afterLines="20" w:after="72" w:line="420" w:lineRule="exact"/>
              <w:ind w:rightChars="10" w:right="24"/>
              <w:jc w:val="righ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D52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64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.15</w:t>
            </w:r>
          </w:p>
        </w:tc>
        <w:tc>
          <w:tcPr>
            <w:tcW w:w="11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A4DB5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</w:p>
        </w:tc>
      </w:tr>
      <w:tr w:rsidR="007D52DD" w:rsidRPr="007D52DD" w14:paraId="6B4705AD" w14:textId="77777777" w:rsidTr="00087531">
        <w:trPr>
          <w:trHeight w:val="48"/>
        </w:trPr>
        <w:tc>
          <w:tcPr>
            <w:tcW w:w="733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64D4" w14:textId="77777777" w:rsidR="00116551" w:rsidRPr="007D52DD" w:rsidRDefault="00116551" w:rsidP="00087531">
            <w:pPr>
              <w:spacing w:line="240" w:lineRule="exact"/>
              <w:rPr>
                <w:rFonts w:ascii="新細明體" w:hAnsi="新細明體" w:cs="新細明體"/>
                <w:color w:val="000000" w:themeColor="text1"/>
                <w:szCs w:val="28"/>
              </w:rPr>
            </w:pPr>
            <w:proofErr w:type="gramStart"/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註</w:t>
            </w:r>
            <w:proofErr w:type="gramEnd"/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:自償性債務係指將來有特定財源可供償還</w:t>
            </w:r>
            <w:r w:rsidRPr="007D52DD">
              <w:rPr>
                <w:rFonts w:ascii="新細明體" w:hAnsi="新細明體" w:cs="新細明體" w:hint="eastAsia"/>
                <w:color w:val="000000" w:themeColor="text1"/>
                <w:szCs w:val="28"/>
              </w:rPr>
              <w:t>。</w:t>
            </w:r>
          </w:p>
          <w:p w14:paraId="1DC009DC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</w:p>
        </w:tc>
      </w:tr>
    </w:tbl>
    <w:p w14:paraId="69F24557" w14:textId="631F575D" w:rsidR="00116551" w:rsidRPr="007D52DD" w:rsidRDefault="00116551" w:rsidP="00087531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3</w:t>
      </w:r>
      <w:r w:rsidR="00297AAD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.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營業基金與清理基金借款：</w:t>
      </w:r>
    </w:p>
    <w:p w14:paraId="226411AB" w14:textId="7EA984A2" w:rsidR="00297AAD" w:rsidRPr="007D52DD" w:rsidRDefault="00297AAD" w:rsidP="003F442C">
      <w:pPr>
        <w:widowControl/>
        <w:tabs>
          <w:tab w:val="left" w:pos="7632"/>
        </w:tabs>
        <w:snapToGrid w:val="0"/>
        <w:spacing w:line="390" w:lineRule="exact"/>
        <w:ind w:leftChars="368" w:left="1158" w:hangingChars="101" w:hanging="275"/>
        <w:jc w:val="right"/>
        <w:rPr>
          <w:rFonts w:ascii="標楷體" w:eastAsia="標楷體" w:hAnsi="標楷體" w:cs="Times New Roman"/>
          <w:color w:val="000000" w:themeColor="text1"/>
          <w:spacing w:val="-4"/>
          <w:kern w:val="0"/>
          <w:sz w:val="22"/>
          <w:szCs w:val="28"/>
        </w:rPr>
      </w:pPr>
      <w:r w:rsidRPr="007D52DD">
        <w:rPr>
          <w:rFonts w:ascii="標楷體" w:eastAsia="標楷體" w:hAnsi="標楷體" w:cs="Times New Roman" w:hint="eastAsia"/>
          <w:color w:val="000000" w:themeColor="text1"/>
          <w:spacing w:val="-4"/>
          <w:kern w:val="0"/>
          <w:sz w:val="28"/>
          <w:szCs w:val="28"/>
        </w:rPr>
        <w:t xml:space="preserve">      </w:t>
      </w:r>
      <w:r w:rsidR="003F442C" w:rsidRPr="007D52DD">
        <w:rPr>
          <w:rFonts w:ascii="標楷體" w:eastAsia="標楷體" w:hAnsi="標楷體" w:hint="eastAsia"/>
          <w:color w:val="000000" w:themeColor="text1"/>
          <w:spacing w:val="-4"/>
          <w:sz w:val="22"/>
          <w:szCs w:val="28"/>
        </w:rPr>
        <w:t>單位:億元</w:t>
      </w:r>
    </w:p>
    <w:tbl>
      <w:tblPr>
        <w:tblW w:w="7338" w:type="dxa"/>
        <w:tblInd w:w="17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6"/>
        <w:gridCol w:w="3275"/>
        <w:gridCol w:w="1618"/>
        <w:gridCol w:w="1019"/>
      </w:tblGrid>
      <w:tr w:rsidR="007D52DD" w:rsidRPr="007D52DD" w14:paraId="1EC49DF2" w14:textId="77777777" w:rsidTr="003F442C">
        <w:trPr>
          <w:trHeight w:val="60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5C5" w14:textId="77777777" w:rsidR="00116551" w:rsidRPr="007D52DD" w:rsidRDefault="0011655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債務類別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22F5" w14:textId="77777777" w:rsidR="00116551" w:rsidRPr="007D52DD" w:rsidRDefault="0011655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A48" w14:textId="77777777" w:rsidR="00116551" w:rsidRPr="007D52DD" w:rsidRDefault="00116551" w:rsidP="00087531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75780" w14:textId="77777777" w:rsidR="00116551" w:rsidRPr="007D52DD" w:rsidRDefault="00116551" w:rsidP="00087531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合計</w:t>
            </w:r>
          </w:p>
        </w:tc>
      </w:tr>
      <w:tr w:rsidR="007D52DD" w:rsidRPr="007D52DD" w14:paraId="6F00A92C" w14:textId="77777777" w:rsidTr="003F442C">
        <w:trPr>
          <w:trHeight w:val="492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1B96" w14:textId="77777777" w:rsidR="00116551" w:rsidRPr="007D52DD" w:rsidRDefault="0011655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營業基金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F0E" w14:textId="77777777" w:rsidR="00116551" w:rsidRPr="007D52DD" w:rsidRDefault="00116551" w:rsidP="00087531">
            <w:pPr>
              <w:spacing w:line="28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輪船公司營業基金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D5C6" w14:textId="4D088754" w:rsidR="00116551" w:rsidRPr="007D52DD" w:rsidRDefault="00745E89" w:rsidP="00093C12">
            <w:pPr>
              <w:snapToGrid w:val="0"/>
              <w:spacing w:afterLines="20" w:after="72" w:line="460" w:lineRule="exact"/>
              <w:ind w:rightChars="10" w:right="24"/>
              <w:jc w:val="righ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8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F707" w14:textId="11AC419C" w:rsidR="00116551" w:rsidRPr="007D52DD" w:rsidRDefault="00946F50" w:rsidP="00093C12">
            <w:pPr>
              <w:snapToGrid w:val="0"/>
              <w:spacing w:line="460" w:lineRule="exact"/>
              <w:ind w:rightChars="10" w:right="24"/>
              <w:jc w:val="righ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02.</w:t>
            </w:r>
            <w:r w:rsidRPr="007D52D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47</w:t>
            </w:r>
          </w:p>
        </w:tc>
      </w:tr>
      <w:tr w:rsidR="007D52DD" w:rsidRPr="007D52DD" w14:paraId="1A35237C" w14:textId="77777777" w:rsidTr="003F442C">
        <w:trPr>
          <w:trHeight w:val="486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F0D4" w14:textId="77777777" w:rsidR="00116551" w:rsidRPr="007D52DD" w:rsidRDefault="00116551" w:rsidP="00087531">
            <w:pPr>
              <w:spacing w:line="28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19A" w14:textId="77777777" w:rsidR="00116551" w:rsidRPr="007D52DD" w:rsidRDefault="00116551" w:rsidP="00087531">
            <w:pPr>
              <w:spacing w:line="28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動產質借所營業基金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4757" w14:textId="36F9871A" w:rsidR="00116551" w:rsidRPr="007D52DD" w:rsidRDefault="00946F50" w:rsidP="00093C12">
            <w:pPr>
              <w:snapToGrid w:val="0"/>
              <w:spacing w:afterLines="20" w:after="72" w:line="460" w:lineRule="exact"/>
              <w:ind w:rightChars="10" w:right="24"/>
              <w:jc w:val="righ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0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CFDD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7D52DD" w:rsidRPr="007D52DD" w14:paraId="4341B92C" w14:textId="77777777" w:rsidTr="003F442C">
        <w:trPr>
          <w:trHeight w:val="4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97E" w14:textId="77777777" w:rsidR="00116551" w:rsidRPr="007D52DD" w:rsidRDefault="0011655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清理基金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828" w14:textId="77777777" w:rsidR="00116551" w:rsidRPr="007D52DD" w:rsidRDefault="00116551" w:rsidP="00087531">
            <w:pPr>
              <w:spacing w:line="28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公車處清理基金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E8C" w14:textId="2AE5134C" w:rsidR="00116551" w:rsidRPr="007D52DD" w:rsidRDefault="00745E89" w:rsidP="00093C12">
            <w:pPr>
              <w:snapToGrid w:val="0"/>
              <w:spacing w:afterLines="20" w:after="72" w:line="460" w:lineRule="exact"/>
              <w:ind w:rightChars="10" w:right="24"/>
              <w:jc w:val="righ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94.44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9430" w14:textId="77777777" w:rsidR="00116551" w:rsidRPr="007D52DD" w:rsidRDefault="00116551" w:rsidP="00087531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7D52DD" w:rsidRPr="007D52DD" w14:paraId="305CB0E0" w14:textId="77777777" w:rsidTr="003F442C">
        <w:trPr>
          <w:trHeight w:val="1211"/>
        </w:trPr>
        <w:tc>
          <w:tcPr>
            <w:tcW w:w="733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AE9E" w14:textId="77777777" w:rsidR="00116551" w:rsidRPr="007D52DD" w:rsidRDefault="00116551" w:rsidP="00087531">
            <w:pPr>
              <w:spacing w:line="240" w:lineRule="exact"/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註</w:t>
            </w:r>
            <w:proofErr w:type="gramEnd"/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:動產質借所營業基金有營業累積盈餘，舉借透支借款係為營業周轉之用；另公車處清理基金於103年已編列50年債務清理計畫送經議會審議通過</w:t>
            </w:r>
            <w:r w:rsidRPr="007D52DD">
              <w:rPr>
                <w:rFonts w:ascii="新細明體" w:hAnsi="新細明體" w:cs="新細明體" w:hint="eastAsia"/>
                <w:color w:val="000000" w:themeColor="text1"/>
                <w:szCs w:val="28"/>
              </w:rPr>
              <w:t>。</w:t>
            </w:r>
          </w:p>
        </w:tc>
      </w:tr>
    </w:tbl>
    <w:p w14:paraId="586825A3" w14:textId="79A213E6" w:rsidR="00116551" w:rsidRPr="007D52DD" w:rsidRDefault="00116551" w:rsidP="003F442C">
      <w:pPr>
        <w:adjustRightInd w:val="0"/>
        <w:snapToGrid w:val="0"/>
        <w:spacing w:line="80" w:lineRule="exact"/>
        <w:ind w:leftChars="355" w:left="1560" w:hangingChars="253" w:hanging="708"/>
        <w:jc w:val="both"/>
        <w:rPr>
          <w:rFonts w:ascii="標楷體" w:eastAsia="標楷體" w:hAnsi="標楷體" w:cs="超研澤粗黑"/>
          <w:color w:val="000000" w:themeColor="text1"/>
          <w:sz w:val="28"/>
          <w:szCs w:val="28"/>
        </w:rPr>
      </w:pPr>
    </w:p>
    <w:p w14:paraId="505E7FDD" w14:textId="745FE565" w:rsidR="00297AAD" w:rsidRPr="007D52DD" w:rsidRDefault="00116551" w:rsidP="00087531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4</w:t>
      </w:r>
      <w:r w:rsidR="003F442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.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依審計處審核報告揭露事項：</w:t>
      </w:r>
    </w:p>
    <w:p w14:paraId="545C3439" w14:textId="77777777" w:rsidR="00297AAD" w:rsidRPr="007D52DD" w:rsidRDefault="00297AAD" w:rsidP="0004195F">
      <w:pPr>
        <w:widowControl/>
        <w:tabs>
          <w:tab w:val="left" w:pos="8070"/>
        </w:tabs>
        <w:snapToGrid w:val="0"/>
        <w:spacing w:line="390" w:lineRule="exact"/>
        <w:ind w:leftChars="368" w:left="1158" w:hangingChars="101" w:hanging="275"/>
        <w:jc w:val="both"/>
        <w:rPr>
          <w:rFonts w:ascii="標楷體" w:eastAsia="標楷體" w:hAnsi="標楷體" w:cs="Times New Roman"/>
          <w:color w:val="000000" w:themeColor="text1"/>
          <w:spacing w:val="-4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/>
          <w:color w:val="000000" w:themeColor="text1"/>
          <w:spacing w:val="-4"/>
          <w:kern w:val="0"/>
          <w:sz w:val="28"/>
          <w:szCs w:val="28"/>
        </w:rPr>
        <w:tab/>
      </w:r>
      <w:r w:rsidRPr="007D52DD">
        <w:rPr>
          <w:rFonts w:ascii="標楷體" w:eastAsia="標楷體" w:hAnsi="標楷體" w:cs="Times New Roman"/>
          <w:color w:val="000000" w:themeColor="text1"/>
          <w:spacing w:val="-4"/>
          <w:kern w:val="0"/>
          <w:sz w:val="28"/>
          <w:szCs w:val="28"/>
        </w:rPr>
        <w:tab/>
      </w:r>
      <w:r w:rsidRPr="007D52DD">
        <w:rPr>
          <w:rFonts w:ascii="標楷體" w:eastAsia="標楷體" w:hAnsi="標楷體" w:cs="Times New Roman" w:hint="eastAsia"/>
          <w:color w:val="000000" w:themeColor="text1"/>
          <w:spacing w:val="-4"/>
          <w:kern w:val="0"/>
          <w:sz w:val="22"/>
          <w:szCs w:val="28"/>
        </w:rPr>
        <w:t>單位:億元</w:t>
      </w:r>
    </w:p>
    <w:tbl>
      <w:tblPr>
        <w:tblW w:w="7371" w:type="dxa"/>
        <w:tblInd w:w="17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647"/>
        <w:gridCol w:w="1224"/>
        <w:gridCol w:w="1082"/>
      </w:tblGrid>
      <w:tr w:rsidR="007D52DD" w:rsidRPr="007D52DD" w14:paraId="6A6E83D1" w14:textId="77777777" w:rsidTr="003F442C">
        <w:trPr>
          <w:trHeight w:val="6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4A05E" w14:textId="77777777" w:rsidR="00366761" w:rsidRPr="007D52DD" w:rsidRDefault="0036676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bookmarkStart w:id="0" w:name="_Hlk65058623"/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7BE" w14:textId="77777777" w:rsidR="00366761" w:rsidRPr="007D52DD" w:rsidRDefault="0036676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6596" w14:textId="77777777" w:rsidR="00366761" w:rsidRPr="007D52DD" w:rsidRDefault="0036676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金額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02DC" w14:textId="77777777" w:rsidR="00366761" w:rsidRPr="007D52DD" w:rsidRDefault="0036676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合計</w:t>
            </w:r>
          </w:p>
        </w:tc>
      </w:tr>
      <w:tr w:rsidR="007D52DD" w:rsidRPr="007D52DD" w14:paraId="1B8E9831" w14:textId="77777777" w:rsidTr="003F442C">
        <w:trPr>
          <w:trHeight w:val="854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739" w14:textId="77777777" w:rsidR="00366761" w:rsidRPr="007D52DD" w:rsidRDefault="0036676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未來給付責任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6791" w14:textId="77777777" w:rsidR="00366761" w:rsidRPr="007D52DD" w:rsidRDefault="00366761" w:rsidP="00087531">
            <w:pPr>
              <w:spacing w:line="2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積欠教育退休人員優惠存款差額利息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18EA" w14:textId="77777777" w:rsidR="00366761" w:rsidRPr="007D52DD" w:rsidRDefault="00366761" w:rsidP="00087531">
            <w:pPr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92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Cs w:val="24"/>
              </w:rPr>
              <w:t>.</w:t>
            </w: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6B0EE" w14:textId="77777777" w:rsidR="00366761" w:rsidRPr="007D52DD" w:rsidRDefault="0036676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92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Cs w:val="24"/>
              </w:rPr>
              <w:t>.</w:t>
            </w: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35</w:t>
            </w:r>
          </w:p>
        </w:tc>
      </w:tr>
      <w:tr w:rsidR="007D52DD" w:rsidRPr="007D52DD" w14:paraId="0E535C7A" w14:textId="77777777" w:rsidTr="00093C12">
        <w:trPr>
          <w:trHeight w:val="102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61B2" w14:textId="77777777" w:rsidR="00366761" w:rsidRPr="007D52DD" w:rsidRDefault="00366761" w:rsidP="00087531">
            <w:pPr>
              <w:spacing w:line="2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D7F5" w14:textId="77777777" w:rsidR="00366761" w:rsidRPr="007D52DD" w:rsidRDefault="00366761" w:rsidP="00087531">
            <w:pPr>
              <w:spacing w:line="2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積欠國民年金保險負擔等8項其他未來給付責任經費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A3B" w14:textId="77777777" w:rsidR="00366761" w:rsidRPr="007D52DD" w:rsidRDefault="00366761" w:rsidP="00087531">
            <w:pPr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56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Cs w:val="24"/>
              </w:rPr>
              <w:t>.</w:t>
            </w: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F364F" w14:textId="77777777" w:rsidR="00366761" w:rsidRPr="007D52DD" w:rsidRDefault="0036676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56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Cs w:val="24"/>
              </w:rPr>
              <w:t>.</w:t>
            </w: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12</w:t>
            </w:r>
          </w:p>
        </w:tc>
      </w:tr>
      <w:tr w:rsidR="007D52DD" w:rsidRPr="007D52DD" w14:paraId="4C59DA02" w14:textId="77777777" w:rsidTr="00093C12">
        <w:trPr>
          <w:trHeight w:val="444"/>
        </w:trPr>
        <w:tc>
          <w:tcPr>
            <w:tcW w:w="6289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DC0" w14:textId="77777777" w:rsidR="00366761" w:rsidRPr="007D52DD" w:rsidRDefault="0036676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未來給付責任總計</w:t>
            </w:r>
          </w:p>
        </w:tc>
        <w:tc>
          <w:tcPr>
            <w:tcW w:w="108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808E5" w14:textId="77777777" w:rsidR="00366761" w:rsidRPr="007D52DD" w:rsidRDefault="00366761" w:rsidP="0008753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Cs w:val="24"/>
              </w:rPr>
              <w:t>4</w:t>
            </w: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8</w:t>
            </w:r>
            <w:r w:rsidRPr="007D52DD">
              <w:rPr>
                <w:rFonts w:ascii="標楷體" w:eastAsia="標楷體" w:hAnsi="標楷體" w:cs="新細明體"/>
                <w:color w:val="000000" w:themeColor="text1"/>
                <w:szCs w:val="24"/>
              </w:rPr>
              <w:t>.</w:t>
            </w:r>
            <w:r w:rsidRPr="007D52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47</w:t>
            </w:r>
          </w:p>
        </w:tc>
      </w:tr>
    </w:tbl>
    <w:bookmarkEnd w:id="0"/>
    <w:p w14:paraId="1BE6F07C" w14:textId="30531753" w:rsidR="00116551" w:rsidRPr="007D52DD" w:rsidRDefault="00116551" w:rsidP="003F442C">
      <w:pPr>
        <w:adjustRightInd w:val="0"/>
        <w:snapToGrid w:val="0"/>
        <w:spacing w:line="390" w:lineRule="exact"/>
        <w:ind w:firstLineChars="708" w:firstLine="1699"/>
        <w:jc w:val="both"/>
        <w:rPr>
          <w:rFonts w:ascii="標楷體" w:eastAsia="標楷體" w:hAnsi="標楷體" w:cs="新細明體"/>
          <w:color w:val="000000" w:themeColor="text1"/>
          <w:szCs w:val="28"/>
        </w:rPr>
      </w:pPr>
      <w:proofErr w:type="gramStart"/>
      <w:r w:rsidRPr="007D52DD">
        <w:rPr>
          <w:rFonts w:ascii="標楷體" w:eastAsia="標楷體" w:hAnsi="標楷體" w:cs="新細明體" w:hint="eastAsia"/>
          <w:color w:val="000000" w:themeColor="text1"/>
          <w:szCs w:val="28"/>
        </w:rPr>
        <w:t>註</w:t>
      </w:r>
      <w:proofErr w:type="gramEnd"/>
      <w:r w:rsidRPr="007D52DD">
        <w:rPr>
          <w:rFonts w:ascii="標楷體" w:eastAsia="標楷體" w:hAnsi="標楷體" w:cs="新細明體" w:hint="eastAsia"/>
          <w:color w:val="000000" w:themeColor="text1"/>
          <w:szCs w:val="28"/>
        </w:rPr>
        <w:t>:</w:t>
      </w:r>
      <w:r w:rsidR="008112C9" w:rsidRPr="007D52DD">
        <w:rPr>
          <w:rFonts w:ascii="標楷體" w:eastAsia="標楷體" w:hAnsi="標楷體" w:cs="新細明體" w:hint="eastAsia"/>
          <w:color w:val="000000" w:themeColor="text1"/>
          <w:szCs w:val="28"/>
        </w:rPr>
        <w:t>本資料為預估數</w:t>
      </w:r>
      <w:r w:rsidRPr="007D52DD">
        <w:rPr>
          <w:rFonts w:ascii="標楷體" w:eastAsia="標楷體" w:hAnsi="標楷體" w:cs="新細明體" w:hint="eastAsia"/>
          <w:color w:val="000000" w:themeColor="text1"/>
          <w:szCs w:val="28"/>
        </w:rPr>
        <w:t>。</w:t>
      </w:r>
    </w:p>
    <w:p w14:paraId="3815BD9A" w14:textId="7C201A6A" w:rsidR="00297AAD" w:rsidRPr="007D52DD" w:rsidRDefault="00087531" w:rsidP="003F442C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lastRenderedPageBreak/>
        <w:t>（</w:t>
      </w:r>
      <w:r w:rsidR="00B6760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四</w:t>
      </w:r>
      <w:r w:rsidR="00297AAD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B6760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高雄市政府開源節流措施</w:t>
      </w:r>
    </w:p>
    <w:p w14:paraId="745BD34F" w14:textId="6346B38A" w:rsidR="00B67608" w:rsidRPr="007D52DD" w:rsidRDefault="00AC2B66" w:rsidP="003F442C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b/>
          <w:color w:val="000000" w:themeColor="text1"/>
        </w:rPr>
      </w:pP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111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年度上半年(1-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6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月)本市開源節流措施可量化項目執行績效約計261.91億元，包含開源252.29億元及節流9.62億元，主要包括積極向中央爭取建設經費補助」225.28億元、「落實執行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欠稅催徵及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稅籍清查作業」9.68億元、「各機關結合業務推動開源措施」6.18億元等</w:t>
      </w:r>
      <w:r w:rsidR="00B6760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0C595F55" w14:textId="62A4D259" w:rsidR="00654F9B" w:rsidRPr="007D52DD" w:rsidRDefault="00654F9B" w:rsidP="00116551">
      <w:pPr>
        <w:adjustRightInd w:val="0"/>
        <w:snapToGrid w:val="0"/>
        <w:spacing w:line="390" w:lineRule="exact"/>
        <w:ind w:leftChars="414" w:left="1271" w:hangingChars="99" w:hanging="277"/>
        <w:jc w:val="both"/>
        <w:rPr>
          <w:rFonts w:ascii="標楷體" w:eastAsia="標楷體" w:hAnsi="標楷體" w:cs="超研澤粗黑"/>
          <w:color w:val="000000" w:themeColor="text1"/>
          <w:sz w:val="28"/>
          <w:szCs w:val="28"/>
        </w:rPr>
      </w:pPr>
    </w:p>
    <w:p w14:paraId="0279DA68" w14:textId="1280DB63" w:rsidR="00A52886" w:rsidRPr="007D52DD" w:rsidRDefault="00A52886" w:rsidP="00087531">
      <w:pPr>
        <w:pStyle w:val="af2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kern w:val="0"/>
          <w:sz w:val="30"/>
          <w:szCs w:val="30"/>
        </w:rPr>
      </w:pPr>
      <w:r w:rsidRPr="007D52DD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二、稅務、金融管理</w:t>
      </w:r>
    </w:p>
    <w:p w14:paraId="593A736B" w14:textId="77777777" w:rsidR="00404985" w:rsidRPr="007D52DD" w:rsidRDefault="00854B81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（一）</w:t>
      </w:r>
      <w:r w:rsidR="00404985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稅務管理</w:t>
      </w:r>
    </w:p>
    <w:p w14:paraId="3D23AAC7" w14:textId="14E17D88" w:rsidR="000373B6" w:rsidRPr="007D52DD" w:rsidRDefault="0054543C" w:rsidP="003F442C">
      <w:pPr>
        <w:widowControl/>
        <w:numPr>
          <w:ilvl w:val="0"/>
          <w:numId w:val="11"/>
        </w:numPr>
        <w:suppressAutoHyphens/>
        <w:overflowPunct w:val="0"/>
        <w:autoSpaceDN w:val="0"/>
        <w:snapToGrid w:val="0"/>
        <w:spacing w:line="320" w:lineRule="exact"/>
        <w:ind w:left="1361" w:firstLine="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稽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徵業務考核榮獲雙項優等</w:t>
      </w:r>
    </w:p>
    <w:p w14:paraId="1C5B684A" w14:textId="2FF5ADBB" w:rsidR="000373B6" w:rsidRPr="007D52DD" w:rsidRDefault="0054543C" w:rsidP="0001777C">
      <w:pPr>
        <w:widowControl/>
        <w:suppressAutoHyphens/>
        <w:overflowPunct w:val="0"/>
        <w:autoSpaceDN w:val="0"/>
        <w:snapToGrid w:val="0"/>
        <w:spacing w:line="320" w:lineRule="exact"/>
        <w:ind w:left="170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本市稅捐稽徵處於財政部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110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年度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稽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徵業務考核「稅捐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稽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徵作業績效」及「疏減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訟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源績效」兩類評獎，榮獲優等之肯定。</w:t>
      </w:r>
    </w:p>
    <w:p w14:paraId="79BCAA1C" w14:textId="77777777" w:rsidR="000373B6" w:rsidRPr="007D52DD" w:rsidRDefault="000373B6" w:rsidP="003F442C">
      <w:pPr>
        <w:widowControl/>
        <w:numPr>
          <w:ilvl w:val="0"/>
          <w:numId w:val="11"/>
        </w:numPr>
        <w:suppressAutoHyphens/>
        <w:overflowPunct w:val="0"/>
        <w:autoSpaceDN w:val="0"/>
        <w:snapToGrid w:val="0"/>
        <w:spacing w:line="320" w:lineRule="exact"/>
        <w:ind w:left="1361" w:firstLine="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稅捐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稽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徵及清理欠稅情形：</w:t>
      </w:r>
    </w:p>
    <w:p w14:paraId="770DBF48" w14:textId="2BD0E512" w:rsidR="005C163F" w:rsidRPr="007D52DD" w:rsidRDefault="000373B6" w:rsidP="003F442C">
      <w:pPr>
        <w:widowControl/>
        <w:suppressAutoHyphens/>
        <w:overflowPunct w:val="0"/>
        <w:autoSpaceDN w:val="0"/>
        <w:snapToGrid w:val="0"/>
        <w:spacing w:line="320" w:lineRule="exact"/>
        <w:ind w:left="2041" w:hanging="397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(1)</w:t>
      </w:r>
      <w:r w:rsidR="005C163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本市</w:t>
      </w:r>
      <w:proofErr w:type="gramStart"/>
      <w:r w:rsidR="005C163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111</w:t>
      </w:r>
      <w:proofErr w:type="gramEnd"/>
      <w:r w:rsidR="005C163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年度市稅預算數422億</w:t>
      </w:r>
      <w:r w:rsidR="00D27E5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9</w:t>
      </w:r>
      <w:r w:rsidR="00D27E58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00</w:t>
      </w:r>
      <w:r w:rsidR="005C163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萬元；</w:t>
      </w:r>
      <w:proofErr w:type="gramStart"/>
      <w:r w:rsidR="005C163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111</w:t>
      </w:r>
      <w:proofErr w:type="gramEnd"/>
      <w:r w:rsidR="005C163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年度截至1</w:t>
      </w:r>
      <w:r w:rsidR="00F7478A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2</w:t>
      </w:r>
      <w:r w:rsidR="00F7478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月底執行數</w:t>
      </w:r>
      <w:r w:rsidR="00D27E5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4</w:t>
      </w:r>
      <w:r w:rsidR="00D27E58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25</w:t>
      </w:r>
      <w:r w:rsidR="005C163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億</w:t>
      </w:r>
      <w:r w:rsidR="00D27E5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6</w:t>
      </w:r>
      <w:r w:rsidR="00D27E58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,920</w:t>
      </w:r>
      <w:r w:rsidR="005C163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萬元，達成率</w:t>
      </w:r>
      <w:r w:rsidR="00D27E5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</w:t>
      </w:r>
      <w:r w:rsidR="00D27E58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00.85</w:t>
      </w:r>
      <w:r w:rsidR="005C163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％。</w:t>
      </w:r>
    </w:p>
    <w:p w14:paraId="4403260D" w14:textId="23828439" w:rsidR="002E3460" w:rsidRPr="007D52DD" w:rsidRDefault="005C163F" w:rsidP="003F442C">
      <w:pPr>
        <w:widowControl/>
        <w:suppressAutoHyphens/>
        <w:overflowPunct w:val="0"/>
        <w:autoSpaceDN w:val="0"/>
        <w:snapToGrid w:val="0"/>
        <w:spacing w:line="320" w:lineRule="exact"/>
        <w:ind w:left="2098" w:hanging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(2)督導本市稅捐處積極加強清理欠稅，截至111年1</w:t>
      </w:r>
      <w:r w:rsidR="00CF6F3A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2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月底清理欠稅累計徵起9.</w:t>
      </w:r>
      <w:r w:rsidR="00CF6F3A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92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億元</w:t>
      </w:r>
      <w:r w:rsidR="000373B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15F1E372" w14:textId="45E2A5AD" w:rsidR="00854B81" w:rsidRPr="007D52DD" w:rsidRDefault="00854B81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（二）金融管理</w:t>
      </w:r>
    </w:p>
    <w:p w14:paraId="3BB0AFD6" w14:textId="5B6AE733" w:rsidR="00A679C5" w:rsidRPr="007D52DD" w:rsidRDefault="00A679C5" w:rsidP="003F442C">
      <w:pPr>
        <w:widowControl/>
        <w:numPr>
          <w:ilvl w:val="0"/>
          <w:numId w:val="15"/>
        </w:numPr>
        <w:suppressAutoHyphens/>
        <w:overflowPunct w:val="0"/>
        <w:autoSpaceDN w:val="0"/>
        <w:snapToGrid w:val="0"/>
        <w:spacing w:line="320" w:lineRule="exact"/>
        <w:ind w:left="1361" w:firstLine="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信用合作社管理</w:t>
      </w:r>
    </w:p>
    <w:p w14:paraId="045680AF" w14:textId="6630A5AE" w:rsidR="00A679C5" w:rsidRPr="007D52DD" w:rsidRDefault="007762DA" w:rsidP="0001777C">
      <w:pPr>
        <w:widowControl/>
        <w:suppressAutoHyphens/>
        <w:overflowPunct w:val="0"/>
        <w:autoSpaceDN w:val="0"/>
        <w:snapToGrid w:val="0"/>
        <w:spacing w:line="320" w:lineRule="exact"/>
        <w:ind w:left="170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督導本市第三信用合作社強化資本結構，提升資本適足率，提足備抵呆帳，降低逾放比率，建全財務結構，另督導其加強監事會職能，建立內部控制及稽核制度，以防弊端</w:t>
      </w:r>
      <w:r w:rsidR="00A679C5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0593682F" w14:textId="5170AECB" w:rsidR="00A679C5" w:rsidRPr="007D52DD" w:rsidRDefault="00A679C5" w:rsidP="003F442C">
      <w:pPr>
        <w:widowControl/>
        <w:numPr>
          <w:ilvl w:val="0"/>
          <w:numId w:val="15"/>
        </w:numPr>
        <w:suppressAutoHyphens/>
        <w:overflowPunct w:val="0"/>
        <w:autoSpaceDN w:val="0"/>
        <w:snapToGrid w:val="0"/>
        <w:spacing w:line="320" w:lineRule="exact"/>
        <w:ind w:left="1361" w:firstLine="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農漁會信用部管理</w:t>
      </w:r>
    </w:p>
    <w:p w14:paraId="031085CE" w14:textId="075D416B" w:rsidR="00A679C5" w:rsidRPr="007D52DD" w:rsidRDefault="00A679C5" w:rsidP="00093C12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(1)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為增加農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、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漁民生產收益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，輔導</w:t>
      </w:r>
      <w:proofErr w:type="gramStart"/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本市農漁會</w:t>
      </w:r>
      <w:proofErr w:type="gramEnd"/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信用部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提供其資金需求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，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111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12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月底放款金額</w:t>
      </w:r>
      <w:bookmarkStart w:id="1" w:name="_Hlk33091260"/>
      <w:bookmarkStart w:id="2" w:name="_Hlk60820545"/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1,</w:t>
      </w:r>
      <w:bookmarkEnd w:id="1"/>
      <w:bookmarkEnd w:id="2"/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163.49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億元較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110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年同期1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,102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.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64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億元增加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60.85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億元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2BE9E230" w14:textId="70D97180" w:rsidR="00A679C5" w:rsidRPr="007D52DD" w:rsidRDefault="00A679C5" w:rsidP="00093C12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(2)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為健全地方金融安定、保障存戶權益，積極輔導農漁會信用部改善財務業務狀況，加強內部控制，強健經營體質，並持續督導辦理不良放款</w:t>
      </w:r>
      <w:proofErr w:type="gramStart"/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之催理</w:t>
      </w:r>
      <w:proofErr w:type="gramEnd"/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  <w:bookmarkStart w:id="3" w:name="_Hlk502653118"/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截至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111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12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月底逾放情形較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110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年同期合計減少</w:t>
      </w:r>
      <w:r w:rsidR="00BD34C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0.87</w:t>
      </w:r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億元，</w:t>
      </w:r>
      <w:bookmarkEnd w:id="3"/>
      <w:r w:rsidR="00BD34C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逾放情形已持續改善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469727AD" w14:textId="03299BC9" w:rsidR="00A679C5" w:rsidRPr="007D52DD" w:rsidRDefault="00A679C5" w:rsidP="00093C12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(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3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)</w:t>
      </w:r>
      <w:r w:rsidR="007762D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持續輔導受專案列管之農漁會信用部，除每月檢討逾期放款</w:t>
      </w:r>
      <w:proofErr w:type="gramStart"/>
      <w:r w:rsidR="007762D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案件催理進度</w:t>
      </w:r>
      <w:proofErr w:type="gramEnd"/>
      <w:r w:rsidR="007762D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，另按季召開會議輔導改善，及依計畫時程積極執行，以改善經營體質，確保存戶權益。並請該等農漁會按月訂定當年度備抵呆帳提列目標，儲備風險承擔能力，強化財務結構，以因應未來景氣變動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2FD9F955" w14:textId="44B1483F" w:rsidR="00A679C5" w:rsidRPr="007D52DD" w:rsidRDefault="00A679C5" w:rsidP="003F442C">
      <w:pPr>
        <w:widowControl/>
        <w:numPr>
          <w:ilvl w:val="0"/>
          <w:numId w:val="15"/>
        </w:numPr>
        <w:suppressAutoHyphens/>
        <w:overflowPunct w:val="0"/>
        <w:autoSpaceDN w:val="0"/>
        <w:snapToGrid w:val="0"/>
        <w:spacing w:line="320" w:lineRule="exact"/>
        <w:ind w:left="1361" w:firstLine="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高雄銀行公股股權管理</w:t>
      </w:r>
    </w:p>
    <w:p w14:paraId="583EF16B" w14:textId="7369A193" w:rsidR="00A679C5" w:rsidRPr="007D52DD" w:rsidRDefault="00A679C5" w:rsidP="00093C12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(1)</w:t>
      </w:r>
      <w:r w:rsidR="00EC2B73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市府所投資高雄銀行，</w:t>
      </w:r>
      <w:proofErr w:type="gramStart"/>
      <w:r w:rsidR="00EC2B73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110</w:t>
      </w:r>
      <w:proofErr w:type="gramEnd"/>
      <w:r w:rsidR="00EC2B73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年度股息收入原預估每股分配現金股利每股0.3元，總計約1億2,811萬餘元，該行111年股東常會通過股東每股分配現金股利0.40元，本府共計分配現金股利1億7,082萬餘元，該款項於去年8月31日繳入市庫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01C070EA" w14:textId="532DC8F1" w:rsidR="00A679C5" w:rsidRPr="007D52DD" w:rsidRDefault="00A679C5" w:rsidP="00093C12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lastRenderedPageBreak/>
        <w:t>(2)</w:t>
      </w:r>
      <w:r w:rsidR="00EC2B73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持續促請本府公股股權代表督導該行落實執行所訂經營策略，持續強化財務結構，並持續落實法令遵循、健全內部管理，及強化員工服務品質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4EB868B8" w14:textId="41FCF0FD" w:rsidR="00A679C5" w:rsidRPr="007D52DD" w:rsidRDefault="00A679C5" w:rsidP="003F442C">
      <w:pPr>
        <w:widowControl/>
        <w:numPr>
          <w:ilvl w:val="0"/>
          <w:numId w:val="15"/>
        </w:numPr>
        <w:suppressAutoHyphens/>
        <w:overflowPunct w:val="0"/>
        <w:autoSpaceDN w:val="0"/>
        <w:snapToGrid w:val="0"/>
        <w:spacing w:line="320" w:lineRule="exact"/>
        <w:ind w:left="1361" w:firstLine="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動產質借所管理</w:t>
      </w:r>
    </w:p>
    <w:p w14:paraId="13963F07" w14:textId="1EB3E037" w:rsidR="00A679C5" w:rsidRPr="007D52DD" w:rsidRDefault="00A679C5" w:rsidP="00093C12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(1)</w:t>
      </w:r>
      <w:r w:rsidR="00A85A0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督導動產質借所依相關法規辦理質借業務，並以服務為宗旨，提供低利便捷的短期融資服務。現行質借放款利率：一般民眾為月息0.9％，</w:t>
      </w:r>
      <w:proofErr w:type="gramStart"/>
      <w:r w:rsidR="00A85A0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本市低收入</w:t>
      </w:r>
      <w:proofErr w:type="gramEnd"/>
      <w:r w:rsidR="00A85A0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戶為月息0.6%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05FCB468" w14:textId="40733739" w:rsidR="00A679C5" w:rsidRPr="007D52DD" w:rsidRDefault="00A679C5" w:rsidP="00093C12">
      <w:pPr>
        <w:widowControl/>
        <w:suppressAutoHyphens/>
        <w:overflowPunct w:val="0"/>
        <w:autoSpaceDN w:val="0"/>
        <w:snapToGrid w:val="0"/>
        <w:spacing w:line="320" w:lineRule="exact"/>
        <w:ind w:left="2069" w:hanging="425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(2)</w:t>
      </w:r>
      <w:proofErr w:type="gramStart"/>
      <w:r w:rsidR="00B969B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111</w:t>
      </w:r>
      <w:proofErr w:type="gramEnd"/>
      <w:r w:rsidR="00B969B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年度截至</w:t>
      </w:r>
      <w:r w:rsidR="00B969BE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12</w:t>
      </w:r>
      <w:r w:rsidR="00B969B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月底，總</w:t>
      </w:r>
      <w:proofErr w:type="gramStart"/>
      <w:r w:rsidR="00B969B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收質人次</w:t>
      </w:r>
      <w:proofErr w:type="gramEnd"/>
      <w:r w:rsidR="00B969BE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23,</w:t>
      </w:r>
      <w:r w:rsidR="00B969B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979人，</w:t>
      </w:r>
      <w:proofErr w:type="gramStart"/>
      <w:r w:rsidR="00B969B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收質件</w:t>
      </w:r>
      <w:proofErr w:type="gramEnd"/>
      <w:r w:rsidR="00B969B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數</w:t>
      </w:r>
      <w:r w:rsidR="00B969BE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72</w:t>
      </w:r>
      <w:r w:rsidR="00B969B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,</w:t>
      </w:r>
      <w:r w:rsidR="00B969BE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417</w:t>
      </w:r>
      <w:r w:rsidR="00B969B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件，</w:t>
      </w:r>
      <w:proofErr w:type="gramStart"/>
      <w:r w:rsidR="00B969B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總貸放</w:t>
      </w:r>
      <w:proofErr w:type="gramEnd"/>
      <w:r w:rsidR="00B969B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金額為</w:t>
      </w:r>
      <w:r w:rsidR="00B969BE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8.84</w:t>
      </w:r>
      <w:r w:rsidR="00B969B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億元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1BCD680B" w14:textId="77777777" w:rsidR="003F42BB" w:rsidRPr="007D52DD" w:rsidRDefault="003F42BB" w:rsidP="003F442C">
      <w:pPr>
        <w:widowControl/>
        <w:suppressAutoHyphens/>
        <w:overflowPunct w:val="0"/>
        <w:autoSpaceDN w:val="0"/>
        <w:snapToGrid w:val="0"/>
        <w:spacing w:line="320" w:lineRule="exact"/>
        <w:ind w:left="2041" w:hanging="397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</w:p>
    <w:p w14:paraId="3C5B73CD" w14:textId="77777777" w:rsidR="00A52886" w:rsidRPr="007D52DD" w:rsidRDefault="00A52886" w:rsidP="00087531">
      <w:pPr>
        <w:pStyle w:val="af2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kern w:val="0"/>
          <w:sz w:val="30"/>
          <w:szCs w:val="30"/>
        </w:rPr>
      </w:pPr>
      <w:r w:rsidRPr="007D52DD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三、菸酒管理</w:t>
      </w:r>
    </w:p>
    <w:p w14:paraId="531EDADD" w14:textId="6A674689" w:rsidR="005314D4" w:rsidRPr="007D52DD" w:rsidRDefault="003F442C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5314D4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一）菸酒查緝情形</w:t>
      </w:r>
    </w:p>
    <w:p w14:paraId="61BF44DF" w14:textId="59CB429D" w:rsidR="005314D4" w:rsidRPr="007D52DD" w:rsidRDefault="005314D4" w:rsidP="003F442C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1.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依</w:t>
      </w:r>
      <w:proofErr w:type="gramStart"/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</w:t>
      </w:r>
      <w:proofErr w:type="gramEnd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年度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菸酒查緝抽查計畫，應抽查菸酒製造業、進口業、批發買賣業、販賣或使用未變性酒精業者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共495家，截至12月</w:t>
      </w:r>
      <w:r w:rsidR="00242F0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底止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共抽檢業者884家，執行率178.59％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01C21122" w14:textId="4FBF7D47" w:rsidR="005314D4" w:rsidRPr="007D52DD" w:rsidRDefault="005314D4" w:rsidP="003F442C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2.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11年</w:t>
      </w:r>
      <w:r w:rsidR="00701A5D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度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查獲涉嫌違反菸酒管理法案件共403件，查獲違規</w:t>
      </w:r>
      <w:proofErr w:type="gramStart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菸</w:t>
      </w:r>
      <w:proofErr w:type="gramEnd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品累計為322萬6,756包，市值為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2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億4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381萬5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013元；查獲違規酒品累計為73萬9,008公升，市值為9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456萬1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356元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0D17EAF8" w14:textId="70CCEA0E" w:rsidR="005314D4" w:rsidRPr="007D52DD" w:rsidRDefault="003F442C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5314D4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二）菸酒專案查緝績效</w:t>
      </w:r>
    </w:p>
    <w:p w14:paraId="699DE69D" w14:textId="1389AE59" w:rsidR="005314D4" w:rsidRPr="007D52DD" w:rsidRDefault="005314D4" w:rsidP="00EF4A38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1.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配合財政部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11年春節前全國同步查緝私劣菸酒專案，經評定查獲私劣</w:t>
      </w:r>
      <w:proofErr w:type="gramStart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菸</w:t>
      </w:r>
      <w:proofErr w:type="gramEnd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品及</w:t>
      </w:r>
      <w:proofErr w:type="gramStart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私劣酒</w:t>
      </w:r>
      <w:proofErr w:type="gramEnd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品績效皆為全國第2名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69A5008C" w14:textId="6F4E313A" w:rsidR="005314D4" w:rsidRPr="007D52DD" w:rsidRDefault="005314D4" w:rsidP="00EF4A38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2.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配合財政部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11年第1次不定期全國同步查緝私劣菸酒專案，經評定查獲私劣</w:t>
      </w:r>
      <w:proofErr w:type="gramStart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菸</w:t>
      </w:r>
      <w:proofErr w:type="gramEnd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品績效為全國第3名，查獲</w:t>
      </w:r>
      <w:proofErr w:type="gramStart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私劣酒</w:t>
      </w:r>
      <w:proofErr w:type="gramEnd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品績效為全國第1名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33DC2B4C" w14:textId="6449ABF9" w:rsidR="0077642F" w:rsidRPr="007D52DD" w:rsidRDefault="0077642F" w:rsidP="00EF4A38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3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.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配合財政部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11年端午節前全國同步查緝私劣菸酒專案，經評定查獲私劣</w:t>
      </w:r>
      <w:proofErr w:type="gramStart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菸</w:t>
      </w:r>
      <w:proofErr w:type="gramEnd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品及</w:t>
      </w:r>
      <w:proofErr w:type="gramStart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私劣酒</w:t>
      </w:r>
      <w:proofErr w:type="gramEnd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品績效皆為全國第1名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2075C29A" w14:textId="46AA8F80" w:rsidR="0077642F" w:rsidRPr="007D52DD" w:rsidRDefault="0077642F" w:rsidP="00EF4A38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4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.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配合財政部執行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11年中秋節前全國同步查緝私劣菸酒專案，經評定查獲私劣</w:t>
      </w:r>
      <w:proofErr w:type="gramStart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菸</w:t>
      </w:r>
      <w:proofErr w:type="gramEnd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品績效為全國第2名；查獲</w:t>
      </w:r>
      <w:proofErr w:type="gramStart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私劣酒</w:t>
      </w:r>
      <w:proofErr w:type="gramEnd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品績效為全國第1名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116FA48F" w14:textId="3AAAD4D8" w:rsidR="005D6DF7" w:rsidRPr="007D52DD" w:rsidRDefault="0077642F" w:rsidP="00EF4A38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5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.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配合財政部執行</w:t>
      </w:r>
      <w:r w:rsidR="00CA6AB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11年第2次不定期全國同步查緝私劣菸酒專案，經評定查獲</w:t>
      </w:r>
      <w:proofErr w:type="gramStart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私劣酒</w:t>
      </w:r>
      <w:proofErr w:type="gramEnd"/>
      <w:r w:rsidR="00CA6A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品績效為全國第2名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1530A995" w14:textId="31A98119" w:rsidR="00C227F2" w:rsidRPr="007D52DD" w:rsidRDefault="00C227F2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（三）菸酒管理宣導</w:t>
      </w:r>
    </w:p>
    <w:p w14:paraId="5BAF18FD" w14:textId="73EDB544" w:rsidR="00B90376" w:rsidRPr="007D52DD" w:rsidRDefault="00B90376" w:rsidP="00EF4A38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1.動態方面</w:t>
      </w:r>
    </w:p>
    <w:p w14:paraId="675E79CD" w14:textId="75BD59A8" w:rsidR="00B90376" w:rsidRPr="007D52DD" w:rsidRDefault="00EF4A38" w:rsidP="00EF4A38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執行民眾法令宣導13場次、業者法令宣導258場次、</w:t>
      </w:r>
      <w:proofErr w:type="gramStart"/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臉書粉絲</w:t>
      </w:r>
      <w:proofErr w:type="gramEnd"/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專頁有獎徵答4場次，合計宣導275場次，人數約2萬5</w:t>
      </w:r>
      <w:r w:rsidR="006329E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</w:t>
      </w:r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000人，並規劃朝多元化方式進行，結合民間團體或企業活動，在宣導過程中加入公益、藝術及流行等元素，讓菸酒法令更貼近民眾生活，藉以建立不同族群對菸酒法令觀念和消費安全的認知，進而提昇宣導效果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3C64D343" w14:textId="3FAF8717" w:rsidR="00B90376" w:rsidRPr="007D52DD" w:rsidRDefault="00EF4A38" w:rsidP="00EF4A38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2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積極配合中央及市府各機關舉辦之各項大型市政宣導活動，如結合高雄國稅局左營</w:t>
      </w:r>
      <w:proofErr w:type="gramStart"/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稽</w:t>
      </w:r>
      <w:proofErr w:type="gramEnd"/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徵所「雲端發票e起來，自動兌獎</w:t>
      </w:r>
      <w:proofErr w:type="gramStart"/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匯</w:t>
      </w:r>
      <w:proofErr w:type="gramEnd"/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進來」、高雄國稅局三民分局「舞出</w:t>
      </w:r>
      <w:proofErr w:type="gramStart"/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美好稅月</w:t>
      </w:r>
      <w:proofErr w:type="gramEnd"/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」、高雄國稅局鳳山分局「打擊私劣</w:t>
      </w:r>
      <w:proofErr w:type="gramStart"/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菸</w:t>
      </w:r>
      <w:proofErr w:type="gramEnd"/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．健康IN起來」、</w:t>
      </w:r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lastRenderedPageBreak/>
        <w:t>高雄市稅捐處「虎虎生風迎新春」、教育局「幸福家庭日-愛與陪伴」515國際家庭日、原民會「高雄市都會區原住民族群文化節-排灣族活動市集」/「2022高雄市原住民族傳統體技能及親</w:t>
      </w:r>
      <w:proofErr w:type="gramStart"/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子樂齡</w:t>
      </w:r>
      <w:proofErr w:type="gramEnd"/>
      <w:r w:rsidR="006329E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運動會暨聯合豐年節」及客委會「111年客家集團結婚」等活動，以發放文宣、播放影片、擺放大型看板、設計遊戲及現場設攤等方式宣導菸酒法令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77B6CC50" w14:textId="77777777" w:rsidR="00B90376" w:rsidRPr="007D52DD" w:rsidRDefault="00B90376" w:rsidP="00EF4A38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2.靜態方面</w:t>
      </w:r>
    </w:p>
    <w:p w14:paraId="3AC91F2F" w14:textId="0D5F3D98" w:rsidR="00B90376" w:rsidRPr="007D52DD" w:rsidRDefault="00EF4A38" w:rsidP="00EF4A38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542692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透過各大報章雜誌宣導不得以自動販賣機、郵購、電子購物等方式販賣或轉讓菸酒品等相關菸酒法令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50BE2D4F" w14:textId="7B676BE1" w:rsidR="00B90376" w:rsidRPr="007D52DD" w:rsidRDefault="00EF4A38" w:rsidP="00EF4A38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2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542692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委託廣播電台製播菸酒法令宣導內容，呼籲民眾</w:t>
      </w:r>
      <w:proofErr w:type="gramStart"/>
      <w:r w:rsidR="00542692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勿</w:t>
      </w:r>
      <w:proofErr w:type="gramEnd"/>
      <w:r w:rsidR="00542692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購買來路不明菸酒品及網路不得販售菸酒品等相關菸酒法令，提昇民眾對菸酒常識的認知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2ADD045F" w14:textId="62634E47" w:rsidR="00B90376" w:rsidRPr="007D52DD" w:rsidRDefault="00EF4A38" w:rsidP="00EF4A38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3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542692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結合本府交通局利用本市公車候車亭製作</w:t>
      </w:r>
      <w:r w:rsidR="00542692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8</w:t>
      </w:r>
      <w:r w:rsidR="00542692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座廣告看板，強化民眾對菸酒法令認知並配合財政部宣導最新菸酒法令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7BFD6DBA" w14:textId="6117D578" w:rsidR="00B90376" w:rsidRPr="007D52DD" w:rsidRDefault="00EF4A38" w:rsidP="00EF4A38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4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542692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透過公車車體、戶外LED看板刊登廣告，向民眾宣導菸酒法令及正確菸酒消費知識，以觸及更多族群。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</w:p>
    <w:p w14:paraId="446761C5" w14:textId="40AB2F35" w:rsidR="00B90376" w:rsidRPr="007D52DD" w:rsidRDefault="00EF4A38" w:rsidP="00EF4A38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5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委外印製酒後</w:t>
      </w:r>
      <w:proofErr w:type="gramStart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找代駕宣導</w:t>
      </w:r>
      <w:proofErr w:type="gramEnd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貼紙</w:t>
      </w:r>
      <w:r w:rsidR="00465DF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2,000</w:t>
      </w:r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份，發放</w:t>
      </w:r>
      <w:proofErr w:type="gramStart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給販酒</w:t>
      </w:r>
      <w:proofErr w:type="gramEnd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業者，協助張貼</w:t>
      </w:r>
      <w:proofErr w:type="gramStart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於販酒</w:t>
      </w:r>
      <w:proofErr w:type="gramEnd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場所，期</w:t>
      </w:r>
      <w:proofErr w:type="gramStart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降低酒駕情形</w:t>
      </w:r>
      <w:proofErr w:type="gramEnd"/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4D1E9D4E" w14:textId="1AF4683F" w:rsidR="00B90376" w:rsidRPr="007D52DD" w:rsidRDefault="00EF4A38" w:rsidP="00EF4A38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6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委外製作菸酒法令宣導紅布條約</w:t>
      </w:r>
      <w:proofErr w:type="gramStart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3</w:t>
      </w:r>
      <w:r w:rsidR="00465DF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00</w:t>
      </w:r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條刊掛</w:t>
      </w:r>
      <w:proofErr w:type="gramEnd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於本府環保局所屬環保清潔車輛，向往來民眾宣導菸酒法令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613B1937" w14:textId="706F031C" w:rsidR="00B90376" w:rsidRPr="007D52DD" w:rsidRDefault="00EF4A38" w:rsidP="00EF4A38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7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透過載有宣導影片、宣導標語之橫幅廣告投放至網路媒體，並建立連結本局菸酒教育宣導網、</w:t>
      </w:r>
      <w:proofErr w:type="gramStart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臉書粉絲</w:t>
      </w:r>
      <w:proofErr w:type="gramEnd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專頁等網站供各界點</w:t>
      </w:r>
      <w:proofErr w:type="gramStart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閱</w:t>
      </w:r>
      <w:proofErr w:type="gramEnd"/>
      <w:r w:rsidR="00465DF0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，以提升廣告曝光次數及成效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  <w:r w:rsidR="00465DF0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 xml:space="preserve"> </w:t>
      </w:r>
    </w:p>
    <w:p w14:paraId="33434C11" w14:textId="2E1062BC" w:rsidR="00B90376" w:rsidRPr="007D52DD" w:rsidRDefault="00EF4A38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四）</w:t>
      </w:r>
      <w:proofErr w:type="gramStart"/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私劣菸酒</w:t>
      </w:r>
      <w:proofErr w:type="gramEnd"/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銷毀</w:t>
      </w:r>
    </w:p>
    <w:p w14:paraId="37C9F008" w14:textId="09401440" w:rsidR="00B90376" w:rsidRPr="007D52DD" w:rsidRDefault="00A463E0" w:rsidP="00EF4A38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11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年度</w:t>
      </w:r>
      <w:r w:rsidR="00213F3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辦理6場銷毀已裁處沒入或判決沒收確定</w:t>
      </w:r>
      <w:proofErr w:type="gramStart"/>
      <w:r w:rsidR="00213F3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私劣菸酒</w:t>
      </w:r>
      <w:proofErr w:type="gramEnd"/>
      <w:r w:rsidR="00213F3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，計銷毀</w:t>
      </w:r>
      <w:proofErr w:type="gramStart"/>
      <w:r w:rsidR="00213F3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菸</w:t>
      </w:r>
      <w:proofErr w:type="gramEnd"/>
      <w:r w:rsidR="00213F3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品64案、酒品8案，總計銷毀</w:t>
      </w:r>
      <w:proofErr w:type="gramStart"/>
      <w:r w:rsidR="00213F3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菸</w:t>
      </w:r>
      <w:proofErr w:type="gramEnd"/>
      <w:r w:rsidR="00213F3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品</w:t>
      </w:r>
      <w:r w:rsidR="00213F3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385萬7</w:t>
      </w:r>
      <w:r w:rsidR="00213F3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</w:t>
      </w:r>
      <w:r w:rsidR="00213F3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104</w:t>
      </w:r>
      <w:r w:rsidR="00213F3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包</w:t>
      </w:r>
      <w:r w:rsidR="00213F3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、酒品1萬9</w:t>
      </w:r>
      <w:r w:rsidR="00213F3C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</w:t>
      </w:r>
      <w:r w:rsidR="00213F3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650公升</w:t>
      </w:r>
      <w:r w:rsidR="00B90376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45A89DF7" w14:textId="77777777" w:rsidR="00EF4A38" w:rsidRPr="007D52DD" w:rsidRDefault="00EF4A38" w:rsidP="00EF4A38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</w:p>
    <w:p w14:paraId="614032C9" w14:textId="77777777" w:rsidR="00A52886" w:rsidRPr="007D52DD" w:rsidRDefault="00A52886" w:rsidP="00087531">
      <w:pPr>
        <w:pStyle w:val="af2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kern w:val="0"/>
          <w:sz w:val="30"/>
          <w:szCs w:val="30"/>
        </w:rPr>
      </w:pPr>
      <w:r w:rsidRPr="007D52DD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四、市有公用財產管理</w:t>
      </w:r>
    </w:p>
    <w:p w14:paraId="4173463E" w14:textId="3CD9EB98" w:rsidR="00583B9E" w:rsidRPr="007D52DD" w:rsidRDefault="00583B9E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（一）</w:t>
      </w:r>
      <w:r w:rsidR="002C4E22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推動「高雄市市有財產管理資訊系統」之運用</w:t>
      </w:r>
    </w:p>
    <w:p w14:paraId="7E5AA265" w14:textId="40959E7D" w:rsidR="00583B9E" w:rsidRPr="007D52DD" w:rsidRDefault="002C4E22" w:rsidP="00EF4A38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市府各機關學校已全面使用「高雄市有財產管理資訊系統」執行財產管理相關作業，為符合各機關需求及提升使用效能，持續優化系統相關功能。</w:t>
      </w:r>
    </w:p>
    <w:p w14:paraId="7614EFC7" w14:textId="1D02913C" w:rsidR="00583B9E" w:rsidRPr="007D52DD" w:rsidRDefault="00583B9E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（二）</w:t>
      </w:r>
      <w:r w:rsidR="000518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辦理公有財產檢查，健全財產管理</w:t>
      </w:r>
      <w:bookmarkStart w:id="4" w:name="_Hlk44514716"/>
      <w:r w:rsidR="000518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制度</w:t>
      </w:r>
      <w:bookmarkEnd w:id="4"/>
    </w:p>
    <w:p w14:paraId="1C3FA57F" w14:textId="6B613F61" w:rsidR="00583B9E" w:rsidRPr="007D52DD" w:rsidRDefault="000518BC" w:rsidP="00EF4A38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為加強公有財產之保管使用、收益與處分，並健全公產管理制度，依年度財產管理檢查計畫辦理財產檢查，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</w:t>
      </w:r>
      <w:r w:rsidR="00D656C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度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完成研究發展考核委員會</w:t>
      </w:r>
      <w:r w:rsidR="00D656C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3</w:t>
      </w:r>
      <w:r w:rsidR="00D656CE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5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個機關學校實地訪查，並列管追蹤受檢機關缺失改善結果；為瞭解府外撥用財產有無依撥用計畫使用，完成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4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個機關實地訪查作業</w:t>
      </w:r>
      <w:r w:rsidR="00583B9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50BCCAE2" w14:textId="79AB82C5" w:rsidR="00583B9E" w:rsidRPr="007D52DD" w:rsidRDefault="00583B9E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（三）</w:t>
      </w:r>
      <w:r w:rsidR="000518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督促各機關積極活化閒置及低度利用市有不動產</w:t>
      </w:r>
    </w:p>
    <w:p w14:paraId="75C02075" w14:textId="459E2F28" w:rsidR="00583B9E" w:rsidRPr="007D52DD" w:rsidRDefault="000518BC" w:rsidP="00EF4A38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lastRenderedPageBreak/>
        <w:t>確實執行「高雄市市有閒置及低度利用房地清理利用計畫」，加速活化市有不動產，並定期召開專案小組會議檢討及列管，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111</w:t>
      </w:r>
      <w:proofErr w:type="gramEnd"/>
      <w:r w:rsidR="001E2179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</w:t>
      </w:r>
      <w:r w:rsidR="00D656C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度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閒置空間活化出租案件新增</w:t>
      </w:r>
      <w:r w:rsidR="00D656C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2</w:t>
      </w:r>
      <w:r w:rsidR="00D656CE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36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件</w:t>
      </w:r>
      <w:r w:rsidR="00583B9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26085B6D" w14:textId="53313A39" w:rsidR="000518BC" w:rsidRPr="007D52DD" w:rsidRDefault="00087531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583B9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四）</w:t>
      </w:r>
      <w:r w:rsidR="000518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促進資源再利用，</w:t>
      </w:r>
      <w:proofErr w:type="gramStart"/>
      <w:r w:rsidR="000518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增裕市庫</w:t>
      </w:r>
      <w:proofErr w:type="gramEnd"/>
      <w:r w:rsidR="000518B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收入</w:t>
      </w:r>
    </w:p>
    <w:p w14:paraId="268CD4A9" w14:textId="7D8591AC" w:rsidR="00583B9E" w:rsidRPr="007D52DD" w:rsidRDefault="000518BC" w:rsidP="00EF4A38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宣導各機關報廢物品利用「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臺北惜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物網」交易平台辦理標售，以促進資源再利用，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增裕市庫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收入，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</w:t>
      </w:r>
      <w:r w:rsidR="00D656C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度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拍賣總成交金額約</w:t>
      </w:r>
      <w:r w:rsidR="00D656C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9</w:t>
      </w:r>
      <w:r w:rsidR="00D656CE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99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萬餘元</w:t>
      </w:r>
      <w:r w:rsidR="00583B9E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19206431" w14:textId="77777777" w:rsidR="00EF4A38" w:rsidRPr="007D52DD" w:rsidRDefault="00EF4A38" w:rsidP="00EF4A38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</w:p>
    <w:p w14:paraId="70FAD96B" w14:textId="77777777" w:rsidR="00A52886" w:rsidRPr="007D52DD" w:rsidRDefault="00A52886" w:rsidP="00087531">
      <w:pPr>
        <w:pStyle w:val="af2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kern w:val="0"/>
          <w:sz w:val="30"/>
          <w:szCs w:val="30"/>
        </w:rPr>
      </w:pPr>
      <w:r w:rsidRPr="007D52DD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五</w:t>
      </w:r>
      <w:r w:rsidRPr="007D52DD">
        <w:rPr>
          <w:rFonts w:ascii="微軟正黑體" w:eastAsia="微軟正黑體" w:hAnsi="微軟正黑體" w:cs="?????(P)"/>
          <w:b/>
          <w:bCs/>
          <w:color w:val="000000" w:themeColor="text1"/>
          <w:kern w:val="0"/>
          <w:sz w:val="30"/>
          <w:szCs w:val="30"/>
        </w:rPr>
        <w:t>、市有非公用財產管理</w:t>
      </w:r>
      <w:r w:rsidRPr="007D52DD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 xml:space="preserve"> </w:t>
      </w:r>
    </w:p>
    <w:p w14:paraId="170BF70C" w14:textId="0FA7DB23" w:rsidR="00B217E9" w:rsidRPr="007D52DD" w:rsidRDefault="00087531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B217E9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一</w:t>
      </w:r>
      <w:r w:rsidR="00EF4A3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B217E9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一般市有非公用土地管理情形</w:t>
      </w:r>
    </w:p>
    <w:p w14:paraId="41114B18" w14:textId="00725C74" w:rsidR="00B217E9" w:rsidRPr="007D52DD" w:rsidRDefault="00B217E9" w:rsidP="00EF4A38">
      <w:pPr>
        <w:widowControl/>
        <w:suppressAutoHyphens/>
        <w:overflowPunct w:val="0"/>
        <w:autoSpaceDN w:val="0"/>
        <w:snapToGrid w:val="0"/>
        <w:spacing w:line="320" w:lineRule="exact"/>
        <w:ind w:left="2495" w:hanging="113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1.出租</w:t>
      </w:r>
      <w:r w:rsidR="0001777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：</w:t>
      </w:r>
      <w:proofErr w:type="gramStart"/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spacing w:val="4"/>
          <w:kern w:val="0"/>
          <w:sz w:val="28"/>
          <w:szCs w:val="28"/>
        </w:rPr>
        <w:t>111</w:t>
      </w:r>
      <w:proofErr w:type="gramEnd"/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spacing w:val="4"/>
          <w:kern w:val="0"/>
          <w:sz w:val="28"/>
          <w:szCs w:val="28"/>
        </w:rPr>
        <w:t>年度截至12月底，承租戶共3,055戶、租金收入共計</w:t>
      </w:r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8</w:t>
      </w:r>
      <w:r w:rsidR="00FC435A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</w:t>
      </w:r>
      <w:r w:rsidR="00AF6606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721</w:t>
      </w:r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萬元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4F7AB95A" w14:textId="3981B38E" w:rsidR="00B217E9" w:rsidRPr="007D52DD" w:rsidRDefault="00B217E9" w:rsidP="00EF4A38">
      <w:pPr>
        <w:widowControl/>
        <w:suppressAutoHyphens/>
        <w:overflowPunct w:val="0"/>
        <w:autoSpaceDN w:val="0"/>
        <w:snapToGrid w:val="0"/>
        <w:spacing w:line="320" w:lineRule="exact"/>
        <w:ind w:left="2495" w:hanging="113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2.占用</w:t>
      </w:r>
      <w:r w:rsidR="0001777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：</w:t>
      </w:r>
      <w:proofErr w:type="gramStart"/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spacing w:val="4"/>
          <w:kern w:val="0"/>
          <w:sz w:val="28"/>
          <w:szCs w:val="28"/>
        </w:rPr>
        <w:t>111</w:t>
      </w:r>
      <w:proofErr w:type="gramEnd"/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spacing w:val="4"/>
          <w:kern w:val="0"/>
          <w:sz w:val="28"/>
          <w:szCs w:val="28"/>
        </w:rPr>
        <w:t>年度截至12月底，占用戶共1,643戶、使用補償金收</w:t>
      </w:r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入共計2,</w:t>
      </w:r>
      <w:r w:rsidR="00AF6606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593</w:t>
      </w:r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萬元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32257F2C" w14:textId="7BB37749" w:rsidR="00B217E9" w:rsidRPr="007D52DD" w:rsidRDefault="00B217E9" w:rsidP="00EF4A38">
      <w:pPr>
        <w:widowControl/>
        <w:suppressAutoHyphens/>
        <w:overflowPunct w:val="0"/>
        <w:autoSpaceDN w:val="0"/>
        <w:snapToGrid w:val="0"/>
        <w:spacing w:line="320" w:lineRule="exact"/>
        <w:ind w:left="2495" w:hanging="113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3.出售</w:t>
      </w:r>
      <w:r w:rsidR="0001777C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：</w:t>
      </w:r>
      <w:proofErr w:type="gramStart"/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spacing w:val="8"/>
          <w:kern w:val="0"/>
          <w:sz w:val="28"/>
          <w:szCs w:val="28"/>
        </w:rPr>
        <w:t>111</w:t>
      </w:r>
      <w:proofErr w:type="gramEnd"/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spacing w:val="8"/>
          <w:kern w:val="0"/>
          <w:sz w:val="28"/>
          <w:szCs w:val="28"/>
        </w:rPr>
        <w:t>年度截至12月底市有非公用土地讓售售價收入(含新</w:t>
      </w:r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草</w:t>
      </w:r>
      <w:proofErr w:type="gramStart"/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衙</w:t>
      </w:r>
      <w:proofErr w:type="gramEnd"/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專案)共計</w:t>
      </w:r>
      <w:r w:rsidR="00FC435A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4.9</w:t>
      </w:r>
      <w:r w:rsidR="00AF6606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億元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638C8DC7" w14:textId="377AA0EA" w:rsidR="00B217E9" w:rsidRPr="007D52DD" w:rsidRDefault="00087531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B217E9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二</w:t>
      </w:r>
      <w:r w:rsidR="00EF4A3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市有非公用土地收回情形</w:t>
      </w:r>
    </w:p>
    <w:p w14:paraId="2228007C" w14:textId="25F74161" w:rsidR="00B217E9" w:rsidRPr="007D52DD" w:rsidRDefault="00FC435A" w:rsidP="00EF4A38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111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年度截至12月底，共計拆除占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用地上物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，收回市有非公用土地19筆(訴訟拆除12筆及占用人自行拆除7筆)，面積2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,658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.85平方公尺，公告現值約5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,952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萬5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760元</w:t>
      </w:r>
      <w:r w:rsidR="00B217E9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73A74BD1" w14:textId="0C188248" w:rsidR="00B217E9" w:rsidRPr="007D52DD" w:rsidRDefault="00087531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B217E9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三</w:t>
      </w:r>
      <w:r w:rsidR="00EF4A3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FC435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國際商工校地收回</w:t>
      </w:r>
    </w:p>
    <w:p w14:paraId="741488A9" w14:textId="6491A56B" w:rsidR="00B217E9" w:rsidRPr="007D52DD" w:rsidRDefault="00FC435A" w:rsidP="00EF4A38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財政局經管本市苓雅區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福裕段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1437地號等20筆市有土地，原出租國際商工作為學校使用。因國際商工經營不善，教育局核定該校自111年8月1日停辦，國際商工已將校舍捐贈市府並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返還市有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土地，後續將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研議市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有土地活化方式。</w:t>
      </w:r>
    </w:p>
    <w:p w14:paraId="056E5731" w14:textId="73487D5F" w:rsidR="001652EE" w:rsidRPr="007D52DD" w:rsidRDefault="001652EE" w:rsidP="00442DB0">
      <w:pPr>
        <w:adjustRightInd w:val="0"/>
        <w:spacing w:line="460" w:lineRule="exact"/>
        <w:ind w:leftChars="355" w:left="1275" w:right="113" w:hangingChars="151" w:hanging="423"/>
        <w:jc w:val="both"/>
        <w:rPr>
          <w:rFonts w:ascii="標楷體" w:eastAsiaTheme="minorEastAsia" w:hAnsi="標楷體"/>
          <w:color w:val="000000" w:themeColor="text1"/>
          <w:sz w:val="28"/>
          <w:szCs w:val="28"/>
        </w:rPr>
      </w:pPr>
    </w:p>
    <w:p w14:paraId="55C53DD5" w14:textId="77777777" w:rsidR="00A52886" w:rsidRPr="007D52DD" w:rsidRDefault="00CF4238" w:rsidP="00087531">
      <w:pPr>
        <w:pStyle w:val="af2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kern w:val="0"/>
          <w:sz w:val="30"/>
          <w:szCs w:val="30"/>
        </w:rPr>
      </w:pPr>
      <w:r w:rsidRPr="007D52DD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六、市有非公用不動</w:t>
      </w:r>
      <w:r w:rsidR="00A52886" w:rsidRPr="007D52DD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t>產開發</w:t>
      </w:r>
    </w:p>
    <w:p w14:paraId="45CA9963" w14:textId="4627E7EF" w:rsidR="009878F9" w:rsidRPr="007D52DD" w:rsidRDefault="0023581F" w:rsidP="007D52DD">
      <w:pPr>
        <w:widowControl/>
        <w:suppressAutoHyphens/>
        <w:overflowPunct w:val="0"/>
        <w:autoSpaceDE w:val="0"/>
        <w:autoSpaceDN w:val="0"/>
        <w:snapToGrid w:val="0"/>
        <w:spacing w:line="340" w:lineRule="exact"/>
        <w:ind w:left="595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本府為更有效推動促參案件，於109年11月將原「促進民間參與公共建設協調推動小組」變更為「促進民間參與公共建設推動委員會」，聘請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熟悉促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參實務及市場行銷之外部專家委員提供諮詢，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使各招商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案招標條件更符合市場需求，提高民間機構投資高雄意願</w:t>
      </w:r>
      <w:r w:rsidR="009878F9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086B3BE4" w14:textId="694AB17B" w:rsidR="009878F9" w:rsidRPr="007D52DD" w:rsidRDefault="00EF4A38" w:rsidP="007D52DD">
      <w:pPr>
        <w:widowControl/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9878F9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一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23581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各機關辦理之促參及開發案績效分述如下</w:t>
      </w:r>
      <w:r w:rsidR="0006511D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:</w:t>
      </w:r>
    </w:p>
    <w:p w14:paraId="7ECC62A8" w14:textId="23E37086" w:rsidR="00A26ED6" w:rsidRPr="007D52DD" w:rsidRDefault="00A26ED6" w:rsidP="007D52DD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</w:t>
      </w:r>
      <w:r w:rsidR="00EF4A3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.</w:t>
      </w:r>
      <w:r w:rsidR="0023581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111年</w:t>
      </w:r>
      <w:r w:rsidR="004C4267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度</w:t>
      </w:r>
      <w:r w:rsidR="0023581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已簽約之促參及開發案件共6案，民間投資金額844.37億元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3EC4E64E" w14:textId="73962D67" w:rsidR="00A26ED6" w:rsidRPr="007D52DD" w:rsidRDefault="00A26ED6" w:rsidP="007D52DD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2</w:t>
      </w:r>
      <w:r w:rsidR="00EF4A3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.</w:t>
      </w:r>
      <w:r w:rsidR="0023581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112年公告中之促參及開發案件共</w:t>
      </w:r>
      <w:r w:rsidR="005E337B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2</w:t>
      </w:r>
      <w:r w:rsidR="0023581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案，民間投資金額預估69</w:t>
      </w:r>
      <w:r w:rsidR="005E337B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.3</w:t>
      </w:r>
      <w:r w:rsidR="0023581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億元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35314223" w14:textId="7C641AEA" w:rsidR="00C73821" w:rsidRPr="007D52DD" w:rsidRDefault="0023581F" w:rsidP="007D52DD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3</w:t>
      </w:r>
      <w:r w:rsidR="00EF4A38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.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112年規劃辦理招商之促參及開發案件共2</w:t>
      </w:r>
      <w:r w:rsidR="005E337B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1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案，民間投資金額預估98</w:t>
      </w:r>
      <w:r w:rsidR="00696E9A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5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.</w:t>
      </w:r>
      <w:r w:rsidR="00696E9A"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8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5億元。</w:t>
      </w:r>
    </w:p>
    <w:p w14:paraId="7D756635" w14:textId="73549D51" w:rsidR="003F337B" w:rsidRPr="007D52DD" w:rsidRDefault="00EF4A38" w:rsidP="007D52DD">
      <w:pPr>
        <w:widowControl/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</w:t>
      </w:r>
      <w:r w:rsidR="009878F9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二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）</w:t>
      </w:r>
      <w:r w:rsidR="003F337B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協助各機關爭取促參前置作業費補助</w:t>
      </w:r>
    </w:p>
    <w:p w14:paraId="0A4216F2" w14:textId="7195A96E" w:rsidR="003F337B" w:rsidRPr="007D52DD" w:rsidRDefault="00EE74D2" w:rsidP="007D52DD">
      <w:pPr>
        <w:widowControl/>
        <w:suppressAutoHyphens/>
        <w:overflowPunct w:val="0"/>
        <w:autoSpaceDE w:val="0"/>
        <w:autoSpaceDN w:val="0"/>
        <w:snapToGrid w:val="0"/>
        <w:spacing w:line="34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111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</w:t>
      </w:r>
      <w:r w:rsidR="004C4267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度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獲財政部核准促參前置作業費補助計5案，同意補助金額1,030萬5千元，後續本府財政局仍將持續協助各機關積極辦理促參案件，爭取促參前置作業費補助</w:t>
      </w:r>
      <w:r w:rsidR="003F337B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1FB48A22" w14:textId="77777777" w:rsidR="00A52886" w:rsidRPr="007D52DD" w:rsidRDefault="00A52886" w:rsidP="00087531">
      <w:pPr>
        <w:pStyle w:val="af2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kern w:val="0"/>
          <w:sz w:val="30"/>
          <w:szCs w:val="30"/>
        </w:rPr>
      </w:pPr>
      <w:r w:rsidRPr="007D52DD">
        <w:rPr>
          <w:rFonts w:ascii="微軟正黑體" w:eastAsia="微軟正黑體" w:hAnsi="微軟正黑體" w:cs="?????(P)" w:hint="eastAsia"/>
          <w:b/>
          <w:bCs/>
          <w:color w:val="000000" w:themeColor="text1"/>
          <w:kern w:val="0"/>
          <w:sz w:val="30"/>
          <w:szCs w:val="30"/>
        </w:rPr>
        <w:lastRenderedPageBreak/>
        <w:t>七、集中支付作業管理</w:t>
      </w:r>
    </w:p>
    <w:p w14:paraId="043A8DBC" w14:textId="2B566FBB" w:rsidR="000F76EA" w:rsidRPr="007D52DD" w:rsidRDefault="00087531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（一）</w:t>
      </w:r>
      <w:r w:rsidR="000F76E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支付資料複核、</w:t>
      </w:r>
      <w:proofErr w:type="gramStart"/>
      <w:r w:rsidR="000F76E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簽放作業</w:t>
      </w:r>
      <w:bookmarkStart w:id="5" w:name="_GoBack"/>
      <w:bookmarkEnd w:id="5"/>
      <w:proofErr w:type="gramEnd"/>
    </w:p>
    <w:p w14:paraId="555C1A92" w14:textId="36CCD6DE" w:rsidR="000F76EA" w:rsidRPr="007D52DD" w:rsidRDefault="00254D45" w:rsidP="00087531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spacing w:val="8"/>
          <w:kern w:val="0"/>
          <w:sz w:val="28"/>
          <w:szCs w:val="28"/>
        </w:rPr>
        <w:t>111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spacing w:val="8"/>
          <w:kern w:val="0"/>
          <w:sz w:val="28"/>
          <w:szCs w:val="28"/>
        </w:rPr>
        <w:t>年度截至12月底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spacing w:val="8"/>
          <w:kern w:val="0"/>
          <w:sz w:val="28"/>
          <w:szCs w:val="28"/>
        </w:rPr>
        <w:t>止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spacing w:val="8"/>
          <w:kern w:val="0"/>
          <w:sz w:val="28"/>
          <w:szCs w:val="28"/>
        </w:rPr>
        <w:t>支付筆數共42</w:t>
      </w:r>
      <w:r w:rsidRPr="007D52DD">
        <w:rPr>
          <w:rFonts w:ascii="標楷體" w:eastAsia="標楷體" w:hAnsi="標楷體" w:cs="Times New Roman"/>
          <w:bCs/>
          <w:color w:val="000000" w:themeColor="text1"/>
          <w:spacing w:val="8"/>
          <w:kern w:val="0"/>
          <w:sz w:val="28"/>
          <w:szCs w:val="28"/>
        </w:rPr>
        <w:t>萬4,803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spacing w:val="8"/>
          <w:kern w:val="0"/>
          <w:sz w:val="28"/>
          <w:szCs w:val="28"/>
        </w:rPr>
        <w:t>筆，支付淨額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3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,559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億3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,766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萬1</w:t>
      </w:r>
      <w:r w:rsidRPr="007D52DD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,</w:t>
      </w: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609元</w:t>
      </w:r>
      <w:r w:rsidR="000F76E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4974327F" w14:textId="4D78E61B" w:rsidR="000F76EA" w:rsidRPr="007D52DD" w:rsidRDefault="00087531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（二）</w:t>
      </w:r>
      <w:proofErr w:type="gramStart"/>
      <w:r w:rsidR="000F76E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賡</w:t>
      </w:r>
      <w:proofErr w:type="gramEnd"/>
      <w:r w:rsidR="000F76E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續宣導通</w:t>
      </w:r>
      <w:proofErr w:type="gramStart"/>
      <w:r w:rsidR="000F76E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匯</w:t>
      </w:r>
      <w:proofErr w:type="gramEnd"/>
      <w:r w:rsidR="000F76E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存帳作業，以降低市庫支票簽發張數</w:t>
      </w:r>
    </w:p>
    <w:p w14:paraId="09C21BB7" w14:textId="301A4839" w:rsidR="000F76EA" w:rsidRPr="007D52DD" w:rsidRDefault="00254D45" w:rsidP="0001777C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32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111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年度截至</w:t>
      </w:r>
      <w:proofErr w:type="gramStart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12月底止存帳</w:t>
      </w:r>
      <w:proofErr w:type="gramEnd"/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付款比率提升至99.64％，較去年同期增加0.12％</w:t>
      </w:r>
      <w:r w:rsidR="000F76E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76ADEC55" w14:textId="00CBE1F0" w:rsidR="000F76EA" w:rsidRPr="007D52DD" w:rsidRDefault="00087531" w:rsidP="00087531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（三）</w:t>
      </w:r>
      <w:r w:rsidR="00253ADF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強化市庫集中支付電子化作業功能，提供正確、迅速付款服務</w:t>
      </w:r>
      <w:r w:rsidR="000F76E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09506335" w14:textId="397FBAED" w:rsidR="000F76EA" w:rsidRPr="007D52DD" w:rsidRDefault="00087531" w:rsidP="00087531">
      <w:pPr>
        <w:widowControl/>
        <w:suppressAutoHyphens/>
        <w:overflowPunct w:val="0"/>
        <w:autoSpaceDN w:val="0"/>
        <w:snapToGrid w:val="0"/>
        <w:spacing w:line="320" w:lineRule="exact"/>
        <w:ind w:left="1333" w:hanging="879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（四）</w:t>
      </w:r>
      <w:r w:rsidR="00254D45" w:rsidRPr="007D52DD">
        <w:rPr>
          <w:rFonts w:ascii="標楷體" w:eastAsia="標楷體" w:hAnsi="標楷體" w:cs="Times New Roman" w:hint="eastAsia"/>
          <w:bCs/>
          <w:color w:val="000000" w:themeColor="text1"/>
          <w:spacing w:val="-8"/>
          <w:kern w:val="0"/>
          <w:sz w:val="28"/>
          <w:szCs w:val="28"/>
        </w:rPr>
        <w:t>111年12月底納入集中支付特種基金餘額約244億元</w:t>
      </w:r>
      <w:r w:rsidR="00254D45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、保管款餘額約314億元，有助於庫款調度並節省市庫利息支出</w:t>
      </w:r>
      <w:r w:rsidR="000F76EA" w:rsidRPr="007D52DD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。</w:t>
      </w:r>
    </w:p>
    <w:p w14:paraId="169108FF" w14:textId="6937295C" w:rsidR="00755D69" w:rsidRPr="007D52DD" w:rsidRDefault="00755D69" w:rsidP="000F76EA">
      <w:pPr>
        <w:widowControl/>
        <w:adjustRightInd w:val="0"/>
        <w:snapToGrid w:val="0"/>
        <w:spacing w:line="390" w:lineRule="exact"/>
        <w:ind w:left="1276" w:rightChars="-20" w:right="-48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sectPr w:rsidR="00755D69" w:rsidRPr="007D52DD" w:rsidSect="00C73821">
      <w:footerReference w:type="even" r:id="rId9"/>
      <w:footerReference w:type="default" r:id="rId10"/>
      <w:pgSz w:w="11906" w:h="16838" w:code="9"/>
      <w:pgMar w:top="1418" w:right="1418" w:bottom="1418" w:left="1418" w:header="851" w:footer="510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9BD32" w14:textId="77777777" w:rsidR="00EF4A38" w:rsidRDefault="00EF4A38" w:rsidP="00F43485">
      <w:r>
        <w:separator/>
      </w:r>
    </w:p>
  </w:endnote>
  <w:endnote w:type="continuationSeparator" w:id="0">
    <w:p w14:paraId="7F425602" w14:textId="77777777" w:rsidR="00EF4A38" w:rsidRDefault="00EF4A38" w:rsidP="00F4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YuanBold-B5">
    <w:altName w:val="Arial Unicode MS"/>
    <w:charset w:val="88"/>
    <w:family w:val="swiss"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中國龍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T21Eo00">
    <w:altName w:val="細明體"/>
    <w:charset w:val="88"/>
    <w:family w:val="auto"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?????(P)">
    <w:altName w:val="Arial"/>
    <w:charset w:val="00"/>
    <w:family w:val="swiss"/>
    <w:pitch w:val="variable"/>
  </w:font>
  <w:font w:name="超研澤粗黑">
    <w:panose1 w:val="020B0609010101010101"/>
    <w:charset w:val="88"/>
    <w:family w:val="modern"/>
    <w:pitch w:val="fixed"/>
    <w:sig w:usb0="00000F41" w:usb1="280918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4AE69" w14:textId="77777777" w:rsidR="00EF4A38" w:rsidRDefault="00EF4A38" w:rsidP="003834B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68</w:t>
    </w:r>
    <w:r>
      <w:rPr>
        <w:rStyle w:val="af"/>
      </w:rPr>
      <w:fldChar w:fldCharType="end"/>
    </w:r>
  </w:p>
  <w:p w14:paraId="6093D5DF" w14:textId="77777777" w:rsidR="00EF4A38" w:rsidRDefault="00EF4A3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569836"/>
      <w:docPartObj>
        <w:docPartGallery w:val="Page Numbers (Bottom of Page)"/>
        <w:docPartUnique/>
      </w:docPartObj>
    </w:sdtPr>
    <w:sdtEndPr/>
    <w:sdtContent>
      <w:p w14:paraId="0798D65C" w14:textId="59EC52F3" w:rsidR="00B03554" w:rsidRDefault="00B0355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DD" w:rsidRPr="007D52DD">
          <w:rPr>
            <w:noProof/>
            <w:lang w:val="zh-TW"/>
          </w:rPr>
          <w:t>21</w:t>
        </w:r>
        <w:r>
          <w:fldChar w:fldCharType="end"/>
        </w:r>
      </w:p>
    </w:sdtContent>
  </w:sdt>
  <w:p w14:paraId="5BE2D7CA" w14:textId="77777777" w:rsidR="00B03554" w:rsidRDefault="00B0355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D06C2" w14:textId="77777777" w:rsidR="00EF4A38" w:rsidRDefault="00EF4A38" w:rsidP="00F43485">
      <w:r>
        <w:separator/>
      </w:r>
    </w:p>
  </w:footnote>
  <w:footnote w:type="continuationSeparator" w:id="0">
    <w:p w14:paraId="0EB86E8D" w14:textId="77777777" w:rsidR="00EF4A38" w:rsidRDefault="00EF4A38" w:rsidP="00F4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（%1）"/>
      <w:lvlJc w:val="left"/>
      <w:pPr>
        <w:tabs>
          <w:tab w:val="num" w:pos="1245"/>
        </w:tabs>
        <w:ind w:left="3384" w:hanging="720"/>
      </w:pPr>
      <w:rPr>
        <w:rFonts w:ascii="標楷體" w:eastAsia="標楷體" w:hAnsi="標楷體" w:cs="Times New Roman"/>
        <w:bCs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eastAsia"/>
        <w:spacing w:val="-2"/>
      </w:rPr>
    </w:lvl>
  </w:abstractNum>
  <w:abstractNum w:abstractNumId="2">
    <w:nsid w:val="00000004"/>
    <w:multiLevelType w:val="singleLevel"/>
    <w:tmpl w:val="00000004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hint="eastAsia"/>
      </w:rPr>
    </w:lvl>
  </w:abstractNum>
  <w:abstractNum w:abstractNumId="3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479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4">
    <w:nsid w:val="00000006"/>
    <w:multiLevelType w:val="singleLevel"/>
    <w:tmpl w:val="00000006"/>
    <w:name w:val="WW8Num26"/>
    <w:lvl w:ilvl="0">
      <w:start w:val="1"/>
      <w:numFmt w:val="decimal"/>
      <w:lvlText w:val="（%1）"/>
      <w:lvlJc w:val="left"/>
      <w:pPr>
        <w:tabs>
          <w:tab w:val="num" w:pos="0"/>
        </w:tabs>
        <w:ind w:left="5868" w:hanging="480"/>
      </w:pPr>
      <w:rPr>
        <w:rFonts w:ascii="標楷體" w:eastAsia="標楷體" w:hAnsi="標楷體" w:cs="Times New Roman"/>
        <w:color w:val="000000"/>
        <w:szCs w:val="28"/>
      </w:rPr>
    </w:lvl>
  </w:abstractNum>
  <w:abstractNum w:abstractNumId="5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6">
    <w:nsid w:val="00000008"/>
    <w:multiLevelType w:val="singleLevel"/>
    <w:tmpl w:val="00000008"/>
    <w:name w:val="WW8Num28"/>
    <w:lvl w:ilvl="0">
      <w:start w:val="4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hint="eastAsia"/>
      </w:rPr>
    </w:lvl>
  </w:abstractNum>
  <w:abstractNum w:abstractNumId="7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479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8">
    <w:nsid w:val="0000000A"/>
    <w:multiLevelType w:val="singleLevel"/>
    <w:tmpl w:val="0000000A"/>
    <w:name w:val="WW8Num34"/>
    <w:lvl w:ilvl="0">
      <w:start w:val="1"/>
      <w:numFmt w:val="decimal"/>
      <w:lvlText w:val="（%1）"/>
      <w:lvlJc w:val="left"/>
      <w:pPr>
        <w:tabs>
          <w:tab w:val="num" w:pos="0"/>
        </w:tabs>
        <w:ind w:left="1700" w:hanging="720"/>
      </w:pPr>
      <w:rPr>
        <w:rFonts w:ascii="標楷體" w:eastAsia="標楷體" w:hAnsi="標楷體" w:cs="Times New Roman"/>
        <w:szCs w:val="28"/>
      </w:rPr>
    </w:lvl>
  </w:abstractNum>
  <w:abstractNum w:abstractNumId="9">
    <w:nsid w:val="046370A1"/>
    <w:multiLevelType w:val="multilevel"/>
    <w:tmpl w:val="474E0DD0"/>
    <w:styleLink w:val="WWNum1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04BE2F46"/>
    <w:multiLevelType w:val="multilevel"/>
    <w:tmpl w:val="A3EAE906"/>
    <w:styleLink w:val="WWOutlineListStyle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（%2）"/>
      <w:lvlJc w:val="left"/>
      <w:pPr>
        <w:ind w:left="665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>
    <w:nsid w:val="0CE614FD"/>
    <w:multiLevelType w:val="multilevel"/>
    <w:tmpl w:val="E7041FB6"/>
    <w:styleLink w:val="LFO5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480" w:hanging="480"/>
      </w:pPr>
    </w:lvl>
    <w:lvl w:ilvl="5">
      <w:start w:val="1"/>
      <w:numFmt w:val="lowerRoman"/>
      <w:lvlText w:val="%6."/>
      <w:lvlJc w:val="right"/>
      <w:pPr>
        <w:ind w:left="480" w:hanging="480"/>
      </w:pPr>
    </w:lvl>
    <w:lvl w:ilvl="6">
      <w:start w:val="1"/>
      <w:numFmt w:val="decimal"/>
      <w:lvlText w:val="%7."/>
      <w:lvlJc w:val="left"/>
      <w:pPr>
        <w:ind w:left="800" w:hanging="480"/>
      </w:pPr>
    </w:lvl>
    <w:lvl w:ilvl="7">
      <w:start w:val="1"/>
      <w:numFmt w:val="ideographTraditional"/>
      <w:lvlText w:val="%8、"/>
      <w:lvlJc w:val="left"/>
      <w:pPr>
        <w:ind w:left="1280" w:hanging="480"/>
      </w:pPr>
    </w:lvl>
    <w:lvl w:ilvl="8">
      <w:start w:val="1"/>
      <w:numFmt w:val="lowerRoman"/>
      <w:lvlText w:val="%9."/>
      <w:lvlJc w:val="right"/>
      <w:pPr>
        <w:ind w:left="1760" w:hanging="480"/>
      </w:pPr>
    </w:lvl>
  </w:abstractNum>
  <w:abstractNum w:abstractNumId="12">
    <w:nsid w:val="19BA2C3B"/>
    <w:multiLevelType w:val="hybridMultilevel"/>
    <w:tmpl w:val="514E7120"/>
    <w:lvl w:ilvl="0" w:tplc="77B6182E">
      <w:start w:val="1"/>
      <w:numFmt w:val="taiwaneseCountingThousand"/>
      <w:lvlText w:val="（%1）"/>
      <w:lvlJc w:val="left"/>
      <w:pPr>
        <w:ind w:left="1245" w:hanging="885"/>
      </w:pPr>
      <w:rPr>
        <w:rFonts w:hint="default"/>
        <w:sz w:val="28"/>
        <w:szCs w:val="28"/>
        <w:lang w:val="en-US"/>
      </w:rPr>
    </w:lvl>
    <w:lvl w:ilvl="1" w:tplc="244CE7B2">
      <w:start w:val="1"/>
      <w:numFmt w:val="decimal"/>
      <w:lvlText w:val="%2."/>
      <w:lvlJc w:val="left"/>
      <w:pPr>
        <w:ind w:left="11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3">
    <w:nsid w:val="27D13B4E"/>
    <w:multiLevelType w:val="hybridMultilevel"/>
    <w:tmpl w:val="9F366786"/>
    <w:lvl w:ilvl="0" w:tplc="7338A4EA">
      <w:start w:val="1"/>
      <w:numFmt w:val="taiwaneseCountingThousand"/>
      <w:pStyle w:val="a0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DF249EE"/>
    <w:multiLevelType w:val="hybridMultilevel"/>
    <w:tmpl w:val="AB182EAA"/>
    <w:lvl w:ilvl="0" w:tplc="BB5433B2">
      <w:start w:val="1"/>
      <w:numFmt w:val="decimal"/>
      <w:suff w:val="nothing"/>
      <w:lvlText w:val="%1."/>
      <w:lvlJc w:val="left"/>
      <w:pPr>
        <w:ind w:left="1308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08" w:hanging="480"/>
      </w:pPr>
    </w:lvl>
    <w:lvl w:ilvl="2" w:tplc="0409001B">
      <w:start w:val="1"/>
      <w:numFmt w:val="lowerRoman"/>
      <w:lvlText w:val="%3."/>
      <w:lvlJc w:val="right"/>
      <w:pPr>
        <w:ind w:left="2388" w:hanging="480"/>
      </w:pPr>
    </w:lvl>
    <w:lvl w:ilvl="3" w:tplc="0409000F">
      <w:start w:val="1"/>
      <w:numFmt w:val="decimal"/>
      <w:lvlText w:val="%4."/>
      <w:lvlJc w:val="left"/>
      <w:pPr>
        <w:ind w:left="2868" w:hanging="480"/>
      </w:pPr>
    </w:lvl>
    <w:lvl w:ilvl="4" w:tplc="04090019">
      <w:start w:val="1"/>
      <w:numFmt w:val="ideographTraditional"/>
      <w:lvlText w:val="%5、"/>
      <w:lvlJc w:val="left"/>
      <w:pPr>
        <w:ind w:left="3348" w:hanging="480"/>
      </w:pPr>
    </w:lvl>
    <w:lvl w:ilvl="5" w:tplc="0409001B">
      <w:start w:val="1"/>
      <w:numFmt w:val="lowerRoman"/>
      <w:lvlText w:val="%6."/>
      <w:lvlJc w:val="right"/>
      <w:pPr>
        <w:ind w:left="3828" w:hanging="480"/>
      </w:pPr>
    </w:lvl>
    <w:lvl w:ilvl="6" w:tplc="0409000F">
      <w:start w:val="1"/>
      <w:numFmt w:val="decimal"/>
      <w:lvlText w:val="%7."/>
      <w:lvlJc w:val="left"/>
      <w:pPr>
        <w:ind w:left="4308" w:hanging="480"/>
      </w:pPr>
    </w:lvl>
    <w:lvl w:ilvl="7" w:tplc="04090019">
      <w:start w:val="1"/>
      <w:numFmt w:val="ideographTraditional"/>
      <w:lvlText w:val="%8、"/>
      <w:lvlJc w:val="left"/>
      <w:pPr>
        <w:ind w:left="4788" w:hanging="480"/>
      </w:pPr>
    </w:lvl>
    <w:lvl w:ilvl="8" w:tplc="0409001B">
      <w:start w:val="1"/>
      <w:numFmt w:val="lowerRoman"/>
      <w:lvlText w:val="%9."/>
      <w:lvlJc w:val="right"/>
      <w:pPr>
        <w:ind w:left="5268" w:hanging="480"/>
      </w:pPr>
    </w:lvl>
  </w:abstractNum>
  <w:abstractNum w:abstractNumId="15">
    <w:nsid w:val="477337DD"/>
    <w:multiLevelType w:val="hybridMultilevel"/>
    <w:tmpl w:val="AA76EBDC"/>
    <w:lvl w:ilvl="0" w:tplc="8B141CA8">
      <w:start w:val="1"/>
      <w:numFmt w:val="taiwaneseCountingThousand"/>
      <w:pStyle w:val="a1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6">
    <w:nsid w:val="4BBE7010"/>
    <w:multiLevelType w:val="hybridMultilevel"/>
    <w:tmpl w:val="95D6A416"/>
    <w:lvl w:ilvl="0" w:tplc="D7067906">
      <w:start w:val="1"/>
      <w:numFmt w:val="decimal"/>
      <w:pStyle w:val="1"/>
      <w:lvlText w:val="(%1)"/>
      <w:lvlJc w:val="left"/>
      <w:pPr>
        <w:tabs>
          <w:tab w:val="num" w:pos="1588"/>
        </w:tabs>
        <w:ind w:left="1588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7">
    <w:nsid w:val="4E537C18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8">
    <w:nsid w:val="6AE06D8C"/>
    <w:multiLevelType w:val="hybridMultilevel"/>
    <w:tmpl w:val="4DDA1D9A"/>
    <w:lvl w:ilvl="0" w:tplc="13B2E49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6E5E5E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>
    <w:nsid w:val="73124310"/>
    <w:multiLevelType w:val="hybridMultilevel"/>
    <w:tmpl w:val="B1689306"/>
    <w:lvl w:ilvl="0" w:tplc="EDD83DC8">
      <w:start w:val="1"/>
      <w:numFmt w:val="decimal"/>
      <w:pStyle w:val="10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F454C73E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>
    <w:nsid w:val="74D72AE0"/>
    <w:multiLevelType w:val="multilevel"/>
    <w:tmpl w:val="04090023"/>
    <w:styleLink w:val="a2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2">
    <w:nsid w:val="7CC2722A"/>
    <w:multiLevelType w:val="hybridMultilevel"/>
    <w:tmpl w:val="AB182EAA"/>
    <w:lvl w:ilvl="0" w:tplc="BB5433B2">
      <w:start w:val="1"/>
      <w:numFmt w:val="decimal"/>
      <w:suff w:val="nothing"/>
      <w:lvlText w:val="%1."/>
      <w:lvlJc w:val="left"/>
      <w:pPr>
        <w:ind w:left="1308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08" w:hanging="480"/>
      </w:pPr>
    </w:lvl>
    <w:lvl w:ilvl="2" w:tplc="0409001B">
      <w:start w:val="1"/>
      <w:numFmt w:val="lowerRoman"/>
      <w:lvlText w:val="%3."/>
      <w:lvlJc w:val="right"/>
      <w:pPr>
        <w:ind w:left="2388" w:hanging="480"/>
      </w:pPr>
    </w:lvl>
    <w:lvl w:ilvl="3" w:tplc="0409000F">
      <w:start w:val="1"/>
      <w:numFmt w:val="decimal"/>
      <w:lvlText w:val="%4."/>
      <w:lvlJc w:val="left"/>
      <w:pPr>
        <w:ind w:left="2868" w:hanging="480"/>
      </w:pPr>
    </w:lvl>
    <w:lvl w:ilvl="4" w:tplc="04090019">
      <w:start w:val="1"/>
      <w:numFmt w:val="ideographTraditional"/>
      <w:lvlText w:val="%5、"/>
      <w:lvlJc w:val="left"/>
      <w:pPr>
        <w:ind w:left="3348" w:hanging="480"/>
      </w:pPr>
    </w:lvl>
    <w:lvl w:ilvl="5" w:tplc="0409001B">
      <w:start w:val="1"/>
      <w:numFmt w:val="lowerRoman"/>
      <w:lvlText w:val="%6."/>
      <w:lvlJc w:val="right"/>
      <w:pPr>
        <w:ind w:left="3828" w:hanging="480"/>
      </w:pPr>
    </w:lvl>
    <w:lvl w:ilvl="6" w:tplc="0409000F">
      <w:start w:val="1"/>
      <w:numFmt w:val="decimal"/>
      <w:lvlText w:val="%7."/>
      <w:lvlJc w:val="left"/>
      <w:pPr>
        <w:ind w:left="4308" w:hanging="480"/>
      </w:pPr>
    </w:lvl>
    <w:lvl w:ilvl="7" w:tplc="04090019">
      <w:start w:val="1"/>
      <w:numFmt w:val="ideographTraditional"/>
      <w:lvlText w:val="%8、"/>
      <w:lvlJc w:val="left"/>
      <w:pPr>
        <w:ind w:left="4788" w:hanging="480"/>
      </w:pPr>
    </w:lvl>
    <w:lvl w:ilvl="8" w:tplc="0409001B">
      <w:start w:val="1"/>
      <w:numFmt w:val="lowerRoman"/>
      <w:lvlText w:val="%9."/>
      <w:lvlJc w:val="right"/>
      <w:pPr>
        <w:ind w:left="5268" w:hanging="480"/>
      </w:p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13"/>
  </w:num>
  <w:num w:numId="5">
    <w:abstractNumId w:val="15"/>
  </w:num>
  <w:num w:numId="6">
    <w:abstractNumId w:val="20"/>
  </w:num>
  <w:num w:numId="7">
    <w:abstractNumId w:val="16"/>
  </w:num>
  <w:num w:numId="8">
    <w:abstractNumId w:val="9"/>
  </w:num>
  <w:num w:numId="9">
    <w:abstractNumId w:val="10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22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86"/>
    <w:rsid w:val="00000D75"/>
    <w:rsid w:val="0000163E"/>
    <w:rsid w:val="00007289"/>
    <w:rsid w:val="00012150"/>
    <w:rsid w:val="0001777C"/>
    <w:rsid w:val="00017B15"/>
    <w:rsid w:val="000232CD"/>
    <w:rsid w:val="00023D3C"/>
    <w:rsid w:val="000323A3"/>
    <w:rsid w:val="00032A69"/>
    <w:rsid w:val="00034283"/>
    <w:rsid w:val="000373B6"/>
    <w:rsid w:val="0004195F"/>
    <w:rsid w:val="00041DC9"/>
    <w:rsid w:val="000507B9"/>
    <w:rsid w:val="00050EE2"/>
    <w:rsid w:val="000518BC"/>
    <w:rsid w:val="00051A50"/>
    <w:rsid w:val="000533A7"/>
    <w:rsid w:val="00060827"/>
    <w:rsid w:val="00061EC6"/>
    <w:rsid w:val="00063345"/>
    <w:rsid w:val="000637CA"/>
    <w:rsid w:val="0006511D"/>
    <w:rsid w:val="0007062B"/>
    <w:rsid w:val="00074D76"/>
    <w:rsid w:val="00077B48"/>
    <w:rsid w:val="000814C9"/>
    <w:rsid w:val="00087531"/>
    <w:rsid w:val="00093942"/>
    <w:rsid w:val="00093C12"/>
    <w:rsid w:val="000A0163"/>
    <w:rsid w:val="000A0961"/>
    <w:rsid w:val="000B07CB"/>
    <w:rsid w:val="000B1292"/>
    <w:rsid w:val="000B7B7B"/>
    <w:rsid w:val="000C0A8D"/>
    <w:rsid w:val="000C35F1"/>
    <w:rsid w:val="000C3A92"/>
    <w:rsid w:val="000C3DEC"/>
    <w:rsid w:val="000D09DE"/>
    <w:rsid w:val="000D39DD"/>
    <w:rsid w:val="000D5667"/>
    <w:rsid w:val="000E0E0C"/>
    <w:rsid w:val="000E4304"/>
    <w:rsid w:val="000F063C"/>
    <w:rsid w:val="000F1047"/>
    <w:rsid w:val="000F4899"/>
    <w:rsid w:val="000F4CAC"/>
    <w:rsid w:val="000F5453"/>
    <w:rsid w:val="000F76EA"/>
    <w:rsid w:val="00101ADA"/>
    <w:rsid w:val="00111C80"/>
    <w:rsid w:val="00116551"/>
    <w:rsid w:val="001254A6"/>
    <w:rsid w:val="001259B4"/>
    <w:rsid w:val="00131165"/>
    <w:rsid w:val="001332F7"/>
    <w:rsid w:val="00133F78"/>
    <w:rsid w:val="001412EC"/>
    <w:rsid w:val="00150EE1"/>
    <w:rsid w:val="0015241A"/>
    <w:rsid w:val="001527DF"/>
    <w:rsid w:val="00152B60"/>
    <w:rsid w:val="0015615B"/>
    <w:rsid w:val="001570C4"/>
    <w:rsid w:val="001652EE"/>
    <w:rsid w:val="00172151"/>
    <w:rsid w:val="00176BE5"/>
    <w:rsid w:val="0018100B"/>
    <w:rsid w:val="001812E6"/>
    <w:rsid w:val="00191BBC"/>
    <w:rsid w:val="001A2FCF"/>
    <w:rsid w:val="001A3DB4"/>
    <w:rsid w:val="001B1483"/>
    <w:rsid w:val="001B1AEB"/>
    <w:rsid w:val="001B2F69"/>
    <w:rsid w:val="001B7EE0"/>
    <w:rsid w:val="001C2DC4"/>
    <w:rsid w:val="001C5D52"/>
    <w:rsid w:val="001D0A33"/>
    <w:rsid w:val="001E2179"/>
    <w:rsid w:val="001E25ED"/>
    <w:rsid w:val="001E3BF2"/>
    <w:rsid w:val="001E4C61"/>
    <w:rsid w:val="001E69E6"/>
    <w:rsid w:val="001E6C50"/>
    <w:rsid w:val="001E7086"/>
    <w:rsid w:val="001E76DA"/>
    <w:rsid w:val="001F2147"/>
    <w:rsid w:val="001F2EFC"/>
    <w:rsid w:val="001F5A0C"/>
    <w:rsid w:val="00203A10"/>
    <w:rsid w:val="00207FF8"/>
    <w:rsid w:val="00213F3C"/>
    <w:rsid w:val="00225080"/>
    <w:rsid w:val="00233758"/>
    <w:rsid w:val="002338AF"/>
    <w:rsid w:val="0023581F"/>
    <w:rsid w:val="00242F0C"/>
    <w:rsid w:val="0024381E"/>
    <w:rsid w:val="00243B03"/>
    <w:rsid w:val="00250863"/>
    <w:rsid w:val="00251A75"/>
    <w:rsid w:val="00253ADF"/>
    <w:rsid w:val="00254D45"/>
    <w:rsid w:val="00264670"/>
    <w:rsid w:val="0026510A"/>
    <w:rsid w:val="00267B17"/>
    <w:rsid w:val="002727E6"/>
    <w:rsid w:val="00277BB1"/>
    <w:rsid w:val="00280689"/>
    <w:rsid w:val="00282F39"/>
    <w:rsid w:val="002837DC"/>
    <w:rsid w:val="00284D54"/>
    <w:rsid w:val="00291E9C"/>
    <w:rsid w:val="00292DF9"/>
    <w:rsid w:val="00297AAD"/>
    <w:rsid w:val="002A1D37"/>
    <w:rsid w:val="002B7EE9"/>
    <w:rsid w:val="002C2E57"/>
    <w:rsid w:val="002C32AE"/>
    <w:rsid w:val="002C4E22"/>
    <w:rsid w:val="002C7CB8"/>
    <w:rsid w:val="002C7D90"/>
    <w:rsid w:val="002D15A1"/>
    <w:rsid w:val="002D30CC"/>
    <w:rsid w:val="002D3991"/>
    <w:rsid w:val="002D67A4"/>
    <w:rsid w:val="002E3460"/>
    <w:rsid w:val="002E6822"/>
    <w:rsid w:val="002E6BAD"/>
    <w:rsid w:val="002E6E4F"/>
    <w:rsid w:val="002F07A2"/>
    <w:rsid w:val="002F373D"/>
    <w:rsid w:val="002F3D40"/>
    <w:rsid w:val="002F71E5"/>
    <w:rsid w:val="0030321C"/>
    <w:rsid w:val="003036F5"/>
    <w:rsid w:val="00306FFD"/>
    <w:rsid w:val="00312C42"/>
    <w:rsid w:val="00322B33"/>
    <w:rsid w:val="00324D3B"/>
    <w:rsid w:val="0033053E"/>
    <w:rsid w:val="00333F0B"/>
    <w:rsid w:val="00337A44"/>
    <w:rsid w:val="003425EA"/>
    <w:rsid w:val="00345C7A"/>
    <w:rsid w:val="00353B66"/>
    <w:rsid w:val="0035510D"/>
    <w:rsid w:val="00357E96"/>
    <w:rsid w:val="00361103"/>
    <w:rsid w:val="00361A19"/>
    <w:rsid w:val="003640DD"/>
    <w:rsid w:val="00366761"/>
    <w:rsid w:val="003834B2"/>
    <w:rsid w:val="00384C80"/>
    <w:rsid w:val="003903B8"/>
    <w:rsid w:val="00395759"/>
    <w:rsid w:val="00395D38"/>
    <w:rsid w:val="00395F8C"/>
    <w:rsid w:val="00396EB8"/>
    <w:rsid w:val="00397D9F"/>
    <w:rsid w:val="003A08F0"/>
    <w:rsid w:val="003A0B31"/>
    <w:rsid w:val="003B3DB3"/>
    <w:rsid w:val="003B474C"/>
    <w:rsid w:val="003B56A0"/>
    <w:rsid w:val="003C13BB"/>
    <w:rsid w:val="003C3A12"/>
    <w:rsid w:val="003C6F0D"/>
    <w:rsid w:val="003D2F9B"/>
    <w:rsid w:val="003D4AC0"/>
    <w:rsid w:val="003D73E9"/>
    <w:rsid w:val="003E662E"/>
    <w:rsid w:val="003E68E6"/>
    <w:rsid w:val="003F337B"/>
    <w:rsid w:val="003F42BB"/>
    <w:rsid w:val="003F442C"/>
    <w:rsid w:val="00404985"/>
    <w:rsid w:val="00417D63"/>
    <w:rsid w:val="00425077"/>
    <w:rsid w:val="004252B3"/>
    <w:rsid w:val="00430FBD"/>
    <w:rsid w:val="00431952"/>
    <w:rsid w:val="0044272D"/>
    <w:rsid w:val="00442DB0"/>
    <w:rsid w:val="00444DAD"/>
    <w:rsid w:val="00450E52"/>
    <w:rsid w:val="00453AEE"/>
    <w:rsid w:val="00453B6B"/>
    <w:rsid w:val="00454317"/>
    <w:rsid w:val="0045641F"/>
    <w:rsid w:val="004570EB"/>
    <w:rsid w:val="00457389"/>
    <w:rsid w:val="00460D99"/>
    <w:rsid w:val="0046591E"/>
    <w:rsid w:val="00465DF0"/>
    <w:rsid w:val="00466ECE"/>
    <w:rsid w:val="00467292"/>
    <w:rsid w:val="00474A61"/>
    <w:rsid w:val="004808A6"/>
    <w:rsid w:val="00485E22"/>
    <w:rsid w:val="00486D3D"/>
    <w:rsid w:val="00490578"/>
    <w:rsid w:val="0049089E"/>
    <w:rsid w:val="00494EC3"/>
    <w:rsid w:val="00496D7D"/>
    <w:rsid w:val="004A4531"/>
    <w:rsid w:val="004B1377"/>
    <w:rsid w:val="004C123A"/>
    <w:rsid w:val="004C4267"/>
    <w:rsid w:val="004D1F36"/>
    <w:rsid w:val="004D3636"/>
    <w:rsid w:val="004D523E"/>
    <w:rsid w:val="004D60C2"/>
    <w:rsid w:val="004D72B5"/>
    <w:rsid w:val="004E55C7"/>
    <w:rsid w:val="004E7240"/>
    <w:rsid w:val="00500ABE"/>
    <w:rsid w:val="005106DD"/>
    <w:rsid w:val="005314D4"/>
    <w:rsid w:val="0053246F"/>
    <w:rsid w:val="00542633"/>
    <w:rsid w:val="00542692"/>
    <w:rsid w:val="00544937"/>
    <w:rsid w:val="00544B1D"/>
    <w:rsid w:val="0054543C"/>
    <w:rsid w:val="00545C82"/>
    <w:rsid w:val="005556A5"/>
    <w:rsid w:val="0055695D"/>
    <w:rsid w:val="00556EF7"/>
    <w:rsid w:val="0056730C"/>
    <w:rsid w:val="0058064E"/>
    <w:rsid w:val="00580654"/>
    <w:rsid w:val="005823EA"/>
    <w:rsid w:val="00583B9E"/>
    <w:rsid w:val="00583D07"/>
    <w:rsid w:val="005871AC"/>
    <w:rsid w:val="00591609"/>
    <w:rsid w:val="00595532"/>
    <w:rsid w:val="00595E2E"/>
    <w:rsid w:val="0059752D"/>
    <w:rsid w:val="005A0122"/>
    <w:rsid w:val="005A3263"/>
    <w:rsid w:val="005B1566"/>
    <w:rsid w:val="005B1C53"/>
    <w:rsid w:val="005C0F91"/>
    <w:rsid w:val="005C163F"/>
    <w:rsid w:val="005C5CAF"/>
    <w:rsid w:val="005C60C6"/>
    <w:rsid w:val="005C6A40"/>
    <w:rsid w:val="005C6A5C"/>
    <w:rsid w:val="005D1292"/>
    <w:rsid w:val="005D129A"/>
    <w:rsid w:val="005D6DF7"/>
    <w:rsid w:val="005E31A0"/>
    <w:rsid w:val="005E3228"/>
    <w:rsid w:val="005E337B"/>
    <w:rsid w:val="005E4A27"/>
    <w:rsid w:val="005E6C90"/>
    <w:rsid w:val="00612C01"/>
    <w:rsid w:val="00615031"/>
    <w:rsid w:val="00616584"/>
    <w:rsid w:val="006166C8"/>
    <w:rsid w:val="006173B3"/>
    <w:rsid w:val="006219D8"/>
    <w:rsid w:val="006321D8"/>
    <w:rsid w:val="006329EC"/>
    <w:rsid w:val="006357AA"/>
    <w:rsid w:val="00640EC0"/>
    <w:rsid w:val="006449F1"/>
    <w:rsid w:val="00654F9B"/>
    <w:rsid w:val="0066689E"/>
    <w:rsid w:val="00667927"/>
    <w:rsid w:val="006711E2"/>
    <w:rsid w:val="0067199F"/>
    <w:rsid w:val="00674004"/>
    <w:rsid w:val="006838DF"/>
    <w:rsid w:val="00692ADD"/>
    <w:rsid w:val="00696E9A"/>
    <w:rsid w:val="006A3B22"/>
    <w:rsid w:val="006A5B5A"/>
    <w:rsid w:val="006A694E"/>
    <w:rsid w:val="006A6AC8"/>
    <w:rsid w:val="006B52CF"/>
    <w:rsid w:val="006B59CF"/>
    <w:rsid w:val="006C19D8"/>
    <w:rsid w:val="006C1E74"/>
    <w:rsid w:val="006E18C0"/>
    <w:rsid w:val="006E4524"/>
    <w:rsid w:val="006E50A8"/>
    <w:rsid w:val="006E6CF4"/>
    <w:rsid w:val="00701A5D"/>
    <w:rsid w:val="00703A05"/>
    <w:rsid w:val="00704540"/>
    <w:rsid w:val="0070551B"/>
    <w:rsid w:val="00710A79"/>
    <w:rsid w:val="00724D7A"/>
    <w:rsid w:val="00731932"/>
    <w:rsid w:val="00734B5E"/>
    <w:rsid w:val="007401C9"/>
    <w:rsid w:val="007409FA"/>
    <w:rsid w:val="00742460"/>
    <w:rsid w:val="00743833"/>
    <w:rsid w:val="00744065"/>
    <w:rsid w:val="00744507"/>
    <w:rsid w:val="00745E89"/>
    <w:rsid w:val="0075305C"/>
    <w:rsid w:val="00755D69"/>
    <w:rsid w:val="00756521"/>
    <w:rsid w:val="00760C6C"/>
    <w:rsid w:val="007762DA"/>
    <w:rsid w:val="0077642F"/>
    <w:rsid w:val="007850F5"/>
    <w:rsid w:val="00793743"/>
    <w:rsid w:val="00794133"/>
    <w:rsid w:val="007A1295"/>
    <w:rsid w:val="007A1838"/>
    <w:rsid w:val="007A3A1B"/>
    <w:rsid w:val="007A61F0"/>
    <w:rsid w:val="007B4977"/>
    <w:rsid w:val="007B5687"/>
    <w:rsid w:val="007C4213"/>
    <w:rsid w:val="007D03A5"/>
    <w:rsid w:val="007D3FE4"/>
    <w:rsid w:val="007D52DD"/>
    <w:rsid w:val="007E07AD"/>
    <w:rsid w:val="007E09D5"/>
    <w:rsid w:val="007E3564"/>
    <w:rsid w:val="007E66D5"/>
    <w:rsid w:val="007F5BAB"/>
    <w:rsid w:val="007F6975"/>
    <w:rsid w:val="007F7291"/>
    <w:rsid w:val="008017A7"/>
    <w:rsid w:val="00801AF4"/>
    <w:rsid w:val="00801C90"/>
    <w:rsid w:val="00806561"/>
    <w:rsid w:val="00807315"/>
    <w:rsid w:val="00810540"/>
    <w:rsid w:val="008112C9"/>
    <w:rsid w:val="008130F3"/>
    <w:rsid w:val="0081495C"/>
    <w:rsid w:val="00822637"/>
    <w:rsid w:val="00826D7A"/>
    <w:rsid w:val="00831EF6"/>
    <w:rsid w:val="00835A16"/>
    <w:rsid w:val="0084692E"/>
    <w:rsid w:val="00854B81"/>
    <w:rsid w:val="00866E82"/>
    <w:rsid w:val="0087505D"/>
    <w:rsid w:val="008760A6"/>
    <w:rsid w:val="00880BE9"/>
    <w:rsid w:val="00886910"/>
    <w:rsid w:val="0089415B"/>
    <w:rsid w:val="008A12F2"/>
    <w:rsid w:val="008A60AA"/>
    <w:rsid w:val="008B4FF9"/>
    <w:rsid w:val="008C0706"/>
    <w:rsid w:val="008E0A34"/>
    <w:rsid w:val="008E1F2B"/>
    <w:rsid w:val="008F16D2"/>
    <w:rsid w:val="00910231"/>
    <w:rsid w:val="00911155"/>
    <w:rsid w:val="009151A5"/>
    <w:rsid w:val="00916C54"/>
    <w:rsid w:val="0093473B"/>
    <w:rsid w:val="00935684"/>
    <w:rsid w:val="0094089A"/>
    <w:rsid w:val="00940960"/>
    <w:rsid w:val="00941B23"/>
    <w:rsid w:val="00946019"/>
    <w:rsid w:val="00946F50"/>
    <w:rsid w:val="00947C85"/>
    <w:rsid w:val="00947F39"/>
    <w:rsid w:val="00951A42"/>
    <w:rsid w:val="00954360"/>
    <w:rsid w:val="009543DA"/>
    <w:rsid w:val="009546CE"/>
    <w:rsid w:val="00960E98"/>
    <w:rsid w:val="00971EA5"/>
    <w:rsid w:val="00973ADF"/>
    <w:rsid w:val="009748D3"/>
    <w:rsid w:val="00976DF4"/>
    <w:rsid w:val="00984A25"/>
    <w:rsid w:val="00986A79"/>
    <w:rsid w:val="009878F9"/>
    <w:rsid w:val="0099252D"/>
    <w:rsid w:val="00995ADF"/>
    <w:rsid w:val="009A0BD8"/>
    <w:rsid w:val="009B4C07"/>
    <w:rsid w:val="009B680C"/>
    <w:rsid w:val="009B72D2"/>
    <w:rsid w:val="009B7923"/>
    <w:rsid w:val="009C1A6A"/>
    <w:rsid w:val="009C3CE6"/>
    <w:rsid w:val="009D0713"/>
    <w:rsid w:val="009D78E4"/>
    <w:rsid w:val="009D7C29"/>
    <w:rsid w:val="009E2C16"/>
    <w:rsid w:val="009E521E"/>
    <w:rsid w:val="009F628D"/>
    <w:rsid w:val="009F6443"/>
    <w:rsid w:val="00A04B6C"/>
    <w:rsid w:val="00A068D9"/>
    <w:rsid w:val="00A11B9E"/>
    <w:rsid w:val="00A1485C"/>
    <w:rsid w:val="00A17473"/>
    <w:rsid w:val="00A20FC1"/>
    <w:rsid w:val="00A216B5"/>
    <w:rsid w:val="00A23636"/>
    <w:rsid w:val="00A23BEE"/>
    <w:rsid w:val="00A23CA7"/>
    <w:rsid w:val="00A26ED6"/>
    <w:rsid w:val="00A27CA0"/>
    <w:rsid w:val="00A379E2"/>
    <w:rsid w:val="00A41830"/>
    <w:rsid w:val="00A441C0"/>
    <w:rsid w:val="00A45BC5"/>
    <w:rsid w:val="00A46078"/>
    <w:rsid w:val="00A463E0"/>
    <w:rsid w:val="00A52886"/>
    <w:rsid w:val="00A53AB3"/>
    <w:rsid w:val="00A542F6"/>
    <w:rsid w:val="00A564D7"/>
    <w:rsid w:val="00A57C94"/>
    <w:rsid w:val="00A630FE"/>
    <w:rsid w:val="00A652C0"/>
    <w:rsid w:val="00A679C5"/>
    <w:rsid w:val="00A70B25"/>
    <w:rsid w:val="00A82561"/>
    <w:rsid w:val="00A85485"/>
    <w:rsid w:val="00A85A0F"/>
    <w:rsid w:val="00A90D41"/>
    <w:rsid w:val="00A914D4"/>
    <w:rsid w:val="00A93D7F"/>
    <w:rsid w:val="00A95C83"/>
    <w:rsid w:val="00A97168"/>
    <w:rsid w:val="00AA0B27"/>
    <w:rsid w:val="00AA5BCB"/>
    <w:rsid w:val="00AA7342"/>
    <w:rsid w:val="00AC2B66"/>
    <w:rsid w:val="00AD2B51"/>
    <w:rsid w:val="00AE2277"/>
    <w:rsid w:val="00AE767E"/>
    <w:rsid w:val="00AE76D0"/>
    <w:rsid w:val="00AF189A"/>
    <w:rsid w:val="00AF3098"/>
    <w:rsid w:val="00AF6606"/>
    <w:rsid w:val="00B03554"/>
    <w:rsid w:val="00B07DDF"/>
    <w:rsid w:val="00B13C28"/>
    <w:rsid w:val="00B212E8"/>
    <w:rsid w:val="00B217E9"/>
    <w:rsid w:val="00B23CF1"/>
    <w:rsid w:val="00B27C35"/>
    <w:rsid w:val="00B30931"/>
    <w:rsid w:val="00B32C3F"/>
    <w:rsid w:val="00B343C1"/>
    <w:rsid w:val="00B40CF5"/>
    <w:rsid w:val="00B44A47"/>
    <w:rsid w:val="00B46A66"/>
    <w:rsid w:val="00B60912"/>
    <w:rsid w:val="00B66C9E"/>
    <w:rsid w:val="00B67608"/>
    <w:rsid w:val="00B70181"/>
    <w:rsid w:val="00B71F56"/>
    <w:rsid w:val="00B84CA3"/>
    <w:rsid w:val="00B90376"/>
    <w:rsid w:val="00B969BE"/>
    <w:rsid w:val="00B96BA3"/>
    <w:rsid w:val="00B9724B"/>
    <w:rsid w:val="00BA114A"/>
    <w:rsid w:val="00BB0FB8"/>
    <w:rsid w:val="00BB4C9E"/>
    <w:rsid w:val="00BC0643"/>
    <w:rsid w:val="00BD2D72"/>
    <w:rsid w:val="00BD34C0"/>
    <w:rsid w:val="00BD7DE5"/>
    <w:rsid w:val="00BE0BD3"/>
    <w:rsid w:val="00BE66DA"/>
    <w:rsid w:val="00BE6E49"/>
    <w:rsid w:val="00BE7585"/>
    <w:rsid w:val="00BE7756"/>
    <w:rsid w:val="00BF5528"/>
    <w:rsid w:val="00BF5F6F"/>
    <w:rsid w:val="00BF66A1"/>
    <w:rsid w:val="00BF7DBF"/>
    <w:rsid w:val="00C00E1E"/>
    <w:rsid w:val="00C04EEF"/>
    <w:rsid w:val="00C11D58"/>
    <w:rsid w:val="00C12E00"/>
    <w:rsid w:val="00C21E5B"/>
    <w:rsid w:val="00C227F2"/>
    <w:rsid w:val="00C3312B"/>
    <w:rsid w:val="00C34FBA"/>
    <w:rsid w:val="00C4207C"/>
    <w:rsid w:val="00C51C1E"/>
    <w:rsid w:val="00C5273B"/>
    <w:rsid w:val="00C53551"/>
    <w:rsid w:val="00C53BC2"/>
    <w:rsid w:val="00C54BA2"/>
    <w:rsid w:val="00C568BE"/>
    <w:rsid w:val="00C64848"/>
    <w:rsid w:val="00C70E6B"/>
    <w:rsid w:val="00C73821"/>
    <w:rsid w:val="00C73E18"/>
    <w:rsid w:val="00C76143"/>
    <w:rsid w:val="00C938E0"/>
    <w:rsid w:val="00C978E4"/>
    <w:rsid w:val="00CA096D"/>
    <w:rsid w:val="00CA666D"/>
    <w:rsid w:val="00CA6ABC"/>
    <w:rsid w:val="00CB1093"/>
    <w:rsid w:val="00CB2F32"/>
    <w:rsid w:val="00CC6D47"/>
    <w:rsid w:val="00CD037B"/>
    <w:rsid w:val="00CD1A01"/>
    <w:rsid w:val="00CD6CA9"/>
    <w:rsid w:val="00CE352E"/>
    <w:rsid w:val="00CE7436"/>
    <w:rsid w:val="00CE7893"/>
    <w:rsid w:val="00CF0190"/>
    <w:rsid w:val="00CF0E36"/>
    <w:rsid w:val="00CF36EF"/>
    <w:rsid w:val="00CF4238"/>
    <w:rsid w:val="00CF6F3A"/>
    <w:rsid w:val="00D00A10"/>
    <w:rsid w:val="00D027D0"/>
    <w:rsid w:val="00D10D9E"/>
    <w:rsid w:val="00D14362"/>
    <w:rsid w:val="00D21D25"/>
    <w:rsid w:val="00D23F0D"/>
    <w:rsid w:val="00D23FE8"/>
    <w:rsid w:val="00D276B0"/>
    <w:rsid w:val="00D27E58"/>
    <w:rsid w:val="00D410FF"/>
    <w:rsid w:val="00D4233A"/>
    <w:rsid w:val="00D42E72"/>
    <w:rsid w:val="00D55888"/>
    <w:rsid w:val="00D61187"/>
    <w:rsid w:val="00D656CE"/>
    <w:rsid w:val="00D657F5"/>
    <w:rsid w:val="00D73C3F"/>
    <w:rsid w:val="00D84C5A"/>
    <w:rsid w:val="00D85135"/>
    <w:rsid w:val="00D8728F"/>
    <w:rsid w:val="00D90EA9"/>
    <w:rsid w:val="00D93D0D"/>
    <w:rsid w:val="00D96822"/>
    <w:rsid w:val="00DA1534"/>
    <w:rsid w:val="00DA2037"/>
    <w:rsid w:val="00DA38D1"/>
    <w:rsid w:val="00DB0744"/>
    <w:rsid w:val="00DE35F6"/>
    <w:rsid w:val="00DE63DD"/>
    <w:rsid w:val="00DF30CC"/>
    <w:rsid w:val="00DF55FC"/>
    <w:rsid w:val="00E019D3"/>
    <w:rsid w:val="00E04AAF"/>
    <w:rsid w:val="00E14E21"/>
    <w:rsid w:val="00E1754D"/>
    <w:rsid w:val="00E17792"/>
    <w:rsid w:val="00E23EDF"/>
    <w:rsid w:val="00E240D1"/>
    <w:rsid w:val="00E26829"/>
    <w:rsid w:val="00E33AE0"/>
    <w:rsid w:val="00E4095A"/>
    <w:rsid w:val="00E42AAE"/>
    <w:rsid w:val="00E44F58"/>
    <w:rsid w:val="00E451C7"/>
    <w:rsid w:val="00E47799"/>
    <w:rsid w:val="00E47FF0"/>
    <w:rsid w:val="00E52152"/>
    <w:rsid w:val="00E571E1"/>
    <w:rsid w:val="00E61A51"/>
    <w:rsid w:val="00E62E84"/>
    <w:rsid w:val="00E66646"/>
    <w:rsid w:val="00E670E6"/>
    <w:rsid w:val="00E67A1F"/>
    <w:rsid w:val="00E7115D"/>
    <w:rsid w:val="00E71A63"/>
    <w:rsid w:val="00E7343A"/>
    <w:rsid w:val="00E8011D"/>
    <w:rsid w:val="00E836FC"/>
    <w:rsid w:val="00E85EE0"/>
    <w:rsid w:val="00E87A27"/>
    <w:rsid w:val="00E91148"/>
    <w:rsid w:val="00E91578"/>
    <w:rsid w:val="00E928A2"/>
    <w:rsid w:val="00E93690"/>
    <w:rsid w:val="00E94E87"/>
    <w:rsid w:val="00E95395"/>
    <w:rsid w:val="00EA179C"/>
    <w:rsid w:val="00EB1D52"/>
    <w:rsid w:val="00EB3099"/>
    <w:rsid w:val="00EB64E5"/>
    <w:rsid w:val="00EC2B73"/>
    <w:rsid w:val="00ED0B18"/>
    <w:rsid w:val="00ED435C"/>
    <w:rsid w:val="00EE1625"/>
    <w:rsid w:val="00EE2C18"/>
    <w:rsid w:val="00EE3008"/>
    <w:rsid w:val="00EE3F97"/>
    <w:rsid w:val="00EE74D2"/>
    <w:rsid w:val="00EF4A38"/>
    <w:rsid w:val="00EF5413"/>
    <w:rsid w:val="00EF75EB"/>
    <w:rsid w:val="00F02C66"/>
    <w:rsid w:val="00F04AAB"/>
    <w:rsid w:val="00F073C8"/>
    <w:rsid w:val="00F11BCE"/>
    <w:rsid w:val="00F130C0"/>
    <w:rsid w:val="00F1420A"/>
    <w:rsid w:val="00F24CC4"/>
    <w:rsid w:val="00F26E21"/>
    <w:rsid w:val="00F3029D"/>
    <w:rsid w:val="00F3382C"/>
    <w:rsid w:val="00F37E09"/>
    <w:rsid w:val="00F4006C"/>
    <w:rsid w:val="00F43485"/>
    <w:rsid w:val="00F528D9"/>
    <w:rsid w:val="00F52CF6"/>
    <w:rsid w:val="00F534B2"/>
    <w:rsid w:val="00F54788"/>
    <w:rsid w:val="00F649FF"/>
    <w:rsid w:val="00F7478A"/>
    <w:rsid w:val="00F83573"/>
    <w:rsid w:val="00F921DE"/>
    <w:rsid w:val="00FA411E"/>
    <w:rsid w:val="00FA47FF"/>
    <w:rsid w:val="00FB0A6F"/>
    <w:rsid w:val="00FC189C"/>
    <w:rsid w:val="00FC3C8C"/>
    <w:rsid w:val="00FC435A"/>
    <w:rsid w:val="00FC5039"/>
    <w:rsid w:val="00FD0E23"/>
    <w:rsid w:val="00FD7003"/>
    <w:rsid w:val="00FD73C0"/>
    <w:rsid w:val="00FE103A"/>
    <w:rsid w:val="00FF2DFB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01D9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ordia New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</w:pPr>
    <w:rPr>
      <w:kern w:val="2"/>
      <w:sz w:val="24"/>
      <w:szCs w:val="22"/>
    </w:rPr>
  </w:style>
  <w:style w:type="paragraph" w:styleId="11">
    <w:name w:val="heading 1"/>
    <w:basedOn w:val="a3"/>
    <w:next w:val="a3"/>
    <w:link w:val="12"/>
    <w:uiPriority w:val="99"/>
    <w:qFormat/>
    <w:rsid w:val="00A52886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paragraph" w:styleId="2">
    <w:name w:val="heading 2"/>
    <w:basedOn w:val="a3"/>
    <w:next w:val="a3"/>
    <w:link w:val="20"/>
    <w:qFormat/>
    <w:rsid w:val="00A52886"/>
    <w:pPr>
      <w:keepNext/>
      <w:suppressAutoHyphens/>
      <w:autoSpaceDN w:val="0"/>
      <w:spacing w:line="720" w:lineRule="auto"/>
      <w:textAlignment w:val="baseline"/>
      <w:outlineLvl w:val="1"/>
    </w:pPr>
    <w:rPr>
      <w:rFonts w:ascii="Arial" w:hAnsi="Arial" w:cs="Times New Roman"/>
      <w:b/>
      <w:bCs/>
      <w:kern w:val="3"/>
      <w:sz w:val="48"/>
      <w:szCs w:val="48"/>
    </w:rPr>
  </w:style>
  <w:style w:type="paragraph" w:styleId="3">
    <w:name w:val="heading 3"/>
    <w:basedOn w:val="a3"/>
    <w:next w:val="a3"/>
    <w:link w:val="30"/>
    <w:qFormat/>
    <w:rsid w:val="00A52886"/>
    <w:pPr>
      <w:keepNext/>
      <w:tabs>
        <w:tab w:val="left" w:pos="900"/>
      </w:tabs>
      <w:suppressAutoHyphens/>
      <w:autoSpaceDE w:val="0"/>
      <w:autoSpaceDN w:val="0"/>
      <w:snapToGrid w:val="0"/>
      <w:spacing w:line="720" w:lineRule="atLeast"/>
      <w:ind w:left="588" w:hanging="480"/>
      <w:jc w:val="both"/>
      <w:textAlignment w:val="baseline"/>
      <w:outlineLvl w:val="2"/>
    </w:pPr>
    <w:rPr>
      <w:rFonts w:ascii="Arial" w:hAnsi="Arial" w:cs="Times New Roman"/>
      <w:bCs/>
      <w:color w:val="000080"/>
      <w:kern w:val="0"/>
      <w:sz w:val="36"/>
      <w:szCs w:val="36"/>
    </w:rPr>
  </w:style>
  <w:style w:type="paragraph" w:styleId="4">
    <w:name w:val="heading 4"/>
    <w:basedOn w:val="a3"/>
    <w:next w:val="a3"/>
    <w:link w:val="40"/>
    <w:qFormat/>
    <w:rsid w:val="00A52886"/>
    <w:pPr>
      <w:keepNext/>
      <w:suppressAutoHyphens/>
      <w:autoSpaceDN w:val="0"/>
      <w:spacing w:line="720" w:lineRule="auto"/>
      <w:textAlignment w:val="baseline"/>
      <w:outlineLvl w:val="3"/>
    </w:pPr>
    <w:rPr>
      <w:rFonts w:ascii="Arial" w:hAnsi="Arial" w:cs="Times New Roman"/>
      <w:kern w:val="3"/>
      <w:sz w:val="36"/>
      <w:szCs w:val="36"/>
    </w:rPr>
  </w:style>
  <w:style w:type="paragraph" w:styleId="5">
    <w:name w:val="heading 5"/>
    <w:basedOn w:val="a3"/>
    <w:next w:val="a3"/>
    <w:link w:val="50"/>
    <w:qFormat/>
    <w:rsid w:val="00A52886"/>
    <w:pPr>
      <w:keepNext/>
      <w:spacing w:line="720" w:lineRule="auto"/>
      <w:ind w:leftChars="200" w:left="200"/>
      <w:outlineLvl w:val="4"/>
    </w:pPr>
    <w:rPr>
      <w:rFonts w:ascii="Arial" w:hAnsi="Arial" w:cs="Times New Roman"/>
      <w:b/>
      <w:bCs/>
      <w:sz w:val="36"/>
      <w:szCs w:val="36"/>
    </w:rPr>
  </w:style>
  <w:style w:type="paragraph" w:styleId="6">
    <w:name w:val="heading 6"/>
    <w:basedOn w:val="a3"/>
    <w:next w:val="a3"/>
    <w:link w:val="60"/>
    <w:qFormat/>
    <w:rsid w:val="00A52886"/>
    <w:pPr>
      <w:keepNext/>
      <w:spacing w:line="720" w:lineRule="auto"/>
      <w:ind w:leftChars="200" w:left="200"/>
      <w:outlineLvl w:val="5"/>
    </w:pPr>
    <w:rPr>
      <w:rFonts w:ascii="Arial" w:hAnsi="Arial" w:cs="Times New Roman"/>
      <w:sz w:val="36"/>
      <w:szCs w:val="36"/>
    </w:rPr>
  </w:style>
  <w:style w:type="paragraph" w:styleId="7">
    <w:name w:val="heading 7"/>
    <w:basedOn w:val="a3"/>
    <w:next w:val="a3"/>
    <w:link w:val="70"/>
    <w:qFormat/>
    <w:rsid w:val="00A52886"/>
    <w:pPr>
      <w:keepNext/>
      <w:spacing w:line="720" w:lineRule="auto"/>
      <w:ind w:leftChars="400" w:left="400"/>
      <w:outlineLvl w:val="6"/>
    </w:pPr>
    <w:rPr>
      <w:rFonts w:ascii="Arial" w:hAnsi="Arial" w:cs="Times New Roman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A52886"/>
    <w:pPr>
      <w:keepNext/>
      <w:spacing w:line="720" w:lineRule="auto"/>
      <w:ind w:leftChars="400" w:left="400"/>
      <w:outlineLvl w:val="7"/>
    </w:pPr>
    <w:rPr>
      <w:rFonts w:ascii="Arial" w:hAnsi="Arial" w:cs="Times New Roman"/>
      <w:sz w:val="36"/>
      <w:szCs w:val="36"/>
    </w:rPr>
  </w:style>
  <w:style w:type="paragraph" w:styleId="9">
    <w:name w:val="heading 9"/>
    <w:basedOn w:val="a3"/>
    <w:next w:val="a3"/>
    <w:link w:val="90"/>
    <w:qFormat/>
    <w:rsid w:val="00A52886"/>
    <w:pPr>
      <w:keepNext/>
      <w:spacing w:line="720" w:lineRule="auto"/>
      <w:ind w:leftChars="400" w:left="400"/>
      <w:outlineLvl w:val="8"/>
    </w:pPr>
    <w:rPr>
      <w:rFonts w:ascii="Arial" w:hAnsi="Arial" w:cs="Times New Roman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link w:val="11"/>
    <w:uiPriority w:val="99"/>
    <w:rsid w:val="00A52886"/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character" w:customStyle="1" w:styleId="20">
    <w:name w:val="標題 2 字元"/>
    <w:link w:val="2"/>
    <w:rsid w:val="00A52886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link w:val="3"/>
    <w:rsid w:val="00A52886"/>
    <w:rPr>
      <w:rFonts w:ascii="Arial" w:eastAsia="新細明體" w:hAnsi="Arial" w:cs="Times New Roman"/>
      <w:bCs/>
      <w:color w:val="000080"/>
      <w:kern w:val="0"/>
      <w:sz w:val="36"/>
      <w:szCs w:val="36"/>
    </w:rPr>
  </w:style>
  <w:style w:type="character" w:customStyle="1" w:styleId="40">
    <w:name w:val="標題 4 字元"/>
    <w:link w:val="4"/>
    <w:rsid w:val="00A52886"/>
    <w:rPr>
      <w:rFonts w:ascii="Arial" w:eastAsia="新細明體" w:hAnsi="Arial" w:cs="Times New Roman"/>
      <w:kern w:val="3"/>
      <w:sz w:val="36"/>
      <w:szCs w:val="36"/>
    </w:rPr>
  </w:style>
  <w:style w:type="character" w:customStyle="1" w:styleId="50">
    <w:name w:val="標題 5 字元"/>
    <w:link w:val="5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link w:val="6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link w:val="8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link w:val="9"/>
    <w:rsid w:val="00A52886"/>
    <w:rPr>
      <w:rFonts w:ascii="Arial" w:eastAsia="新細明體" w:hAnsi="Arial" w:cs="Times New Roman"/>
      <w:sz w:val="36"/>
      <w:szCs w:val="36"/>
    </w:rPr>
  </w:style>
  <w:style w:type="paragraph" w:customStyle="1" w:styleId="a7">
    <w:name w:val="首長"/>
    <w:basedOn w:val="a3"/>
    <w:rsid w:val="00A52886"/>
    <w:pPr>
      <w:snapToGrid w:val="0"/>
    </w:pPr>
    <w:rPr>
      <w:rFonts w:ascii="標楷體" w:eastAsia="標楷體" w:hAnsi="Times New Roman" w:cs="Times New Roman" w:hint="eastAsia"/>
      <w:sz w:val="36"/>
      <w:szCs w:val="20"/>
    </w:rPr>
  </w:style>
  <w:style w:type="paragraph" w:styleId="21">
    <w:name w:val="Body Text Indent 2"/>
    <w:basedOn w:val="a3"/>
    <w:link w:val="22"/>
    <w:uiPriority w:val="99"/>
    <w:rsid w:val="00A52886"/>
    <w:pPr>
      <w:spacing w:after="120" w:line="480" w:lineRule="auto"/>
      <w:ind w:leftChars="200" w:left="480"/>
    </w:pPr>
    <w:rPr>
      <w:rFonts w:ascii="Times New Roman" w:hAnsi="Times New Roman" w:cs="Times New Roman"/>
      <w:szCs w:val="20"/>
    </w:rPr>
  </w:style>
  <w:style w:type="character" w:customStyle="1" w:styleId="22">
    <w:name w:val="本文縮排 2 字元"/>
    <w:link w:val="21"/>
    <w:uiPriority w:val="99"/>
    <w:rsid w:val="00A5288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3"/>
    <w:link w:val="32"/>
    <w:uiPriority w:val="99"/>
    <w:rsid w:val="00A52886"/>
    <w:pPr>
      <w:spacing w:line="520" w:lineRule="exact"/>
      <w:ind w:left="22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32">
    <w:name w:val="本文縮排 3 字元"/>
    <w:link w:val="31"/>
    <w:uiPriority w:val="99"/>
    <w:rsid w:val="00A52886"/>
    <w:rPr>
      <w:rFonts w:ascii="Times New Roman" w:eastAsia="標楷體" w:hAnsi="Times New Roman" w:cs="Times New Roman"/>
      <w:sz w:val="32"/>
      <w:szCs w:val="24"/>
    </w:rPr>
  </w:style>
  <w:style w:type="paragraph" w:customStyle="1" w:styleId="a8">
    <w:name w:val="說明"/>
    <w:basedOn w:val="a3"/>
    <w:uiPriority w:val="99"/>
    <w:rsid w:val="00A5288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4"/>
    </w:rPr>
  </w:style>
  <w:style w:type="paragraph" w:styleId="a9">
    <w:name w:val="Body Text Indent"/>
    <w:basedOn w:val="a3"/>
    <w:link w:val="aa"/>
    <w:uiPriority w:val="99"/>
    <w:rsid w:val="00A52886"/>
    <w:pPr>
      <w:spacing w:line="540" w:lineRule="exact"/>
      <w:ind w:leftChars="283" w:left="679" w:firstLineChars="100" w:firstLine="320"/>
    </w:pPr>
    <w:rPr>
      <w:rFonts w:ascii="標楷體" w:eastAsia="標楷體" w:hAnsi="標楷體" w:cs="Times New Roman"/>
      <w:sz w:val="32"/>
      <w:szCs w:val="24"/>
    </w:rPr>
  </w:style>
  <w:style w:type="character" w:customStyle="1" w:styleId="aa">
    <w:name w:val="本文縮排 字元"/>
    <w:link w:val="a9"/>
    <w:uiPriority w:val="99"/>
    <w:rsid w:val="00A52886"/>
    <w:rPr>
      <w:rFonts w:ascii="標楷體" w:eastAsia="標楷體" w:hAnsi="標楷體" w:cs="Times New Roman"/>
      <w:sz w:val="32"/>
      <w:szCs w:val="24"/>
    </w:rPr>
  </w:style>
  <w:style w:type="paragraph" w:styleId="ab">
    <w:name w:val="Body Text"/>
    <w:basedOn w:val="a3"/>
    <w:link w:val="13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character" w:customStyle="1" w:styleId="ac">
    <w:name w:val="本文 字元"/>
    <w:basedOn w:val="a4"/>
    <w:uiPriority w:val="99"/>
    <w:rsid w:val="00A52886"/>
  </w:style>
  <w:style w:type="paragraph" w:styleId="ad">
    <w:name w:val="footer"/>
    <w:basedOn w:val="a3"/>
    <w:link w:val="ae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頁尾 字元"/>
    <w:link w:val="ad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4"/>
    <w:uiPriority w:val="99"/>
    <w:rsid w:val="00A52886"/>
  </w:style>
  <w:style w:type="paragraph" w:styleId="23">
    <w:name w:val="Body Text 2"/>
    <w:basedOn w:val="a3"/>
    <w:link w:val="24"/>
    <w:rsid w:val="00A52886"/>
    <w:rPr>
      <w:rFonts w:ascii="Times New Roman" w:eastAsia="標楷體" w:hAnsi="Times New Roman" w:cs="Times New Roman"/>
      <w:sz w:val="36"/>
      <w:szCs w:val="24"/>
    </w:rPr>
  </w:style>
  <w:style w:type="character" w:customStyle="1" w:styleId="24">
    <w:name w:val="本文 2 字元"/>
    <w:link w:val="23"/>
    <w:rsid w:val="00A52886"/>
    <w:rPr>
      <w:rFonts w:ascii="Times New Roman" w:eastAsia="標楷體" w:hAnsi="Times New Roman" w:cs="Times New Roman"/>
      <w:sz w:val="36"/>
      <w:szCs w:val="24"/>
    </w:rPr>
  </w:style>
  <w:style w:type="paragraph" w:customStyle="1" w:styleId="af0">
    <w:name w:val="主旨"/>
    <w:basedOn w:val="a3"/>
    <w:uiPriority w:val="99"/>
    <w:rsid w:val="00A52886"/>
    <w:pPr>
      <w:wordWrap w:val="0"/>
      <w:snapToGrid w:val="0"/>
    </w:pPr>
    <w:rPr>
      <w:rFonts w:ascii="Times New Roman" w:eastAsia="標楷體" w:hAnsi="Times New Roman" w:cs="Times New Roman"/>
      <w:sz w:val="32"/>
      <w:szCs w:val="20"/>
    </w:rPr>
  </w:style>
  <w:style w:type="paragraph" w:styleId="af1">
    <w:name w:val="Block Text"/>
    <w:basedOn w:val="a3"/>
    <w:rsid w:val="00A52886"/>
    <w:pPr>
      <w:spacing w:line="480" w:lineRule="exact"/>
      <w:ind w:leftChars="300" w:left="720" w:rightChars="13" w:right="31"/>
    </w:pPr>
    <w:rPr>
      <w:rFonts w:ascii="標楷體" w:eastAsia="標楷體" w:hAnsi="Times New Roman" w:cs="Times New Roman"/>
      <w:sz w:val="32"/>
      <w:szCs w:val="28"/>
    </w:rPr>
  </w:style>
  <w:style w:type="paragraph" w:styleId="af2">
    <w:name w:val="annotation text"/>
    <w:basedOn w:val="a3"/>
    <w:link w:val="af3"/>
    <w:rsid w:val="00A52886"/>
    <w:rPr>
      <w:rFonts w:ascii="Times New Roman" w:eastAsia="標楷體" w:hAnsi="Times New Roman" w:cs="Times New Roman"/>
      <w:sz w:val="32"/>
      <w:szCs w:val="32"/>
    </w:rPr>
  </w:style>
  <w:style w:type="character" w:customStyle="1" w:styleId="af3">
    <w:name w:val="註解文字 字元"/>
    <w:link w:val="af2"/>
    <w:rsid w:val="00A52886"/>
    <w:rPr>
      <w:rFonts w:ascii="Times New Roman" w:eastAsia="標楷體" w:hAnsi="Times New Roman" w:cs="Times New Roman"/>
      <w:sz w:val="32"/>
      <w:szCs w:val="32"/>
    </w:rPr>
  </w:style>
  <w:style w:type="paragraph" w:styleId="af4">
    <w:name w:val="header"/>
    <w:basedOn w:val="a3"/>
    <w:link w:val="af5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頁首 字元"/>
    <w:link w:val="af4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paragraph" w:styleId="af6">
    <w:name w:val="Balloon Text"/>
    <w:basedOn w:val="a3"/>
    <w:link w:val="af7"/>
    <w:uiPriority w:val="99"/>
    <w:rsid w:val="00A52886"/>
    <w:rPr>
      <w:rFonts w:ascii="Arial" w:hAnsi="Arial" w:cs="Times New Roman"/>
      <w:sz w:val="18"/>
      <w:szCs w:val="18"/>
    </w:rPr>
  </w:style>
  <w:style w:type="character" w:customStyle="1" w:styleId="af7">
    <w:name w:val="註解方塊文字 字元"/>
    <w:link w:val="af6"/>
    <w:uiPriority w:val="99"/>
    <w:rsid w:val="00A52886"/>
    <w:rPr>
      <w:rFonts w:ascii="Arial" w:eastAsia="新細明體" w:hAnsi="Arial" w:cs="Times New Roman"/>
      <w:sz w:val="18"/>
      <w:szCs w:val="18"/>
    </w:rPr>
  </w:style>
  <w:style w:type="paragraph" w:customStyle="1" w:styleId="af8">
    <w:name w:val="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tax2">
    <w:name w:val="tax2"/>
    <w:rsid w:val="00A52886"/>
    <w:rPr>
      <w:color w:val="666666"/>
      <w:spacing w:val="320"/>
      <w:sz w:val="21"/>
      <w:szCs w:val="21"/>
    </w:rPr>
  </w:style>
  <w:style w:type="paragraph" w:customStyle="1" w:styleId="af9">
    <w:name w:val="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a">
    <w:name w:val="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b">
    <w:name w:val="Table Grid"/>
    <w:basedOn w:val="a5"/>
    <w:rsid w:val="00A52886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12h231">
    <w:name w:val="gray12_h231"/>
    <w:rsid w:val="00A52886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character" w:customStyle="1" w:styleId="tlh108mb">
    <w:name w:val="tlh108 mb"/>
    <w:basedOn w:val="a4"/>
    <w:rsid w:val="00A52886"/>
  </w:style>
  <w:style w:type="paragraph" w:styleId="afc">
    <w:name w:val="Document Map"/>
    <w:basedOn w:val="a3"/>
    <w:link w:val="afd"/>
    <w:semiHidden/>
    <w:rsid w:val="00A52886"/>
    <w:pPr>
      <w:shd w:val="clear" w:color="auto" w:fill="000080"/>
    </w:pPr>
    <w:rPr>
      <w:rFonts w:ascii="Arial" w:hAnsi="Arial" w:cs="Times New Roman"/>
      <w:szCs w:val="24"/>
    </w:rPr>
  </w:style>
  <w:style w:type="character" w:customStyle="1" w:styleId="afd">
    <w:name w:val="文件引導模式 字元"/>
    <w:link w:val="afc"/>
    <w:semiHidden/>
    <w:rsid w:val="00A52886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Preformatted"/>
    <w:basedOn w:val="a3"/>
    <w:link w:val="HTML0"/>
    <w:uiPriority w:val="99"/>
    <w:rsid w:val="00A52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link w:val="HTML"/>
    <w:uiPriority w:val="99"/>
    <w:rsid w:val="00A52886"/>
    <w:rPr>
      <w:rFonts w:ascii="細明體" w:eastAsia="細明體" w:hAnsi="細明體" w:cs="Times New Roman"/>
      <w:kern w:val="0"/>
      <w:szCs w:val="24"/>
    </w:rPr>
  </w:style>
  <w:style w:type="character" w:customStyle="1" w:styleId="a1221">
    <w:name w:val="a12_21"/>
    <w:rsid w:val="00A52886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4">
    <w:name w:val="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5">
    <w:name w:val="清單段落1"/>
    <w:aliases w:val="標題 (4),List Paragraph,1.1.1.1清單段落,列點"/>
    <w:basedOn w:val="a3"/>
    <w:link w:val="afe"/>
    <w:rsid w:val="00A52886"/>
    <w:pPr>
      <w:ind w:leftChars="200" w:left="480"/>
    </w:pPr>
    <w:rPr>
      <w:rFonts w:cs="Times New Roman"/>
    </w:rPr>
  </w:style>
  <w:style w:type="paragraph" w:customStyle="1" w:styleId="aff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0">
    <w:name w:val="Plain Text"/>
    <w:basedOn w:val="a3"/>
    <w:link w:val="aff1"/>
    <w:uiPriority w:val="99"/>
    <w:rsid w:val="00A52886"/>
    <w:rPr>
      <w:rFonts w:ascii="細明體" w:eastAsia="細明體" w:hAnsi="Courier New" w:cs="Times New Roman"/>
      <w:szCs w:val="20"/>
    </w:rPr>
  </w:style>
  <w:style w:type="character" w:customStyle="1" w:styleId="aff1">
    <w:name w:val="純文字 字元"/>
    <w:link w:val="aff0"/>
    <w:uiPriority w:val="99"/>
    <w:rsid w:val="00A52886"/>
    <w:rPr>
      <w:rFonts w:ascii="細明體" w:eastAsia="細明體" w:hAnsi="Courier New" w:cs="Times New Roman"/>
      <w:szCs w:val="20"/>
    </w:rPr>
  </w:style>
  <w:style w:type="paragraph" w:customStyle="1" w:styleId="110">
    <w:name w:val="字元1 字元 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6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2">
    <w:name w:val="( 一)"/>
    <w:uiPriority w:val="99"/>
    <w:rsid w:val="00A52886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 w:hAnsi="Times New Roman" w:cs="Times New Roman"/>
      <w:sz w:val="26"/>
    </w:rPr>
  </w:style>
  <w:style w:type="paragraph" w:customStyle="1" w:styleId="aff3">
    <w:name w:val="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4">
    <w:name w:val="Salutation"/>
    <w:basedOn w:val="a3"/>
    <w:next w:val="a3"/>
    <w:link w:val="aff5"/>
    <w:rsid w:val="00A52886"/>
    <w:rPr>
      <w:rFonts w:ascii="標楷體" w:eastAsia="標楷體" w:hAnsi="標楷體" w:cs="Times New Roman"/>
      <w:sz w:val="28"/>
      <w:szCs w:val="28"/>
    </w:rPr>
  </w:style>
  <w:style w:type="character" w:customStyle="1" w:styleId="aff5">
    <w:name w:val="問候 字元"/>
    <w:link w:val="aff4"/>
    <w:rsid w:val="00A52886"/>
    <w:rPr>
      <w:rFonts w:ascii="標楷體" w:eastAsia="標楷體" w:hAnsi="標楷體" w:cs="Times New Roman"/>
      <w:sz w:val="28"/>
      <w:szCs w:val="28"/>
    </w:rPr>
  </w:style>
  <w:style w:type="paragraph" w:customStyle="1" w:styleId="aff6">
    <w:name w:val="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4"/>
    <w:rsid w:val="00A52886"/>
  </w:style>
  <w:style w:type="character" w:styleId="aff7">
    <w:name w:val="Emphasis"/>
    <w:qFormat/>
    <w:rsid w:val="00A52886"/>
    <w:rPr>
      <w:b w:val="0"/>
      <w:bCs w:val="0"/>
      <w:i w:val="0"/>
      <w:iCs w:val="0"/>
      <w:color w:val="DD4B39"/>
    </w:rPr>
  </w:style>
  <w:style w:type="character" w:styleId="aff8">
    <w:name w:val="Hyperlink"/>
    <w:uiPriority w:val="99"/>
    <w:rsid w:val="00A52886"/>
    <w:rPr>
      <w:color w:val="0000FF"/>
      <w:u w:val="single"/>
    </w:rPr>
  </w:style>
  <w:style w:type="paragraph" w:customStyle="1" w:styleId="aff9">
    <w:name w:val="[基本段落]"/>
    <w:basedOn w:val="a3"/>
    <w:uiPriority w:val="99"/>
    <w:rsid w:val="00A5288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cs="Times New Roman"/>
      <w:color w:val="000000"/>
      <w:kern w:val="0"/>
      <w:szCs w:val="24"/>
      <w:lang w:val="zh-TW"/>
    </w:rPr>
  </w:style>
  <w:style w:type="paragraph" w:customStyle="1" w:styleId="100">
    <w:name w:val="(1)0標題"/>
    <w:basedOn w:val="a3"/>
    <w:link w:val="101"/>
    <w:rsid w:val="00A52886"/>
    <w:pPr>
      <w:snapToGrid w:val="0"/>
      <w:ind w:leftChars="674" w:left="2098" w:hanging="480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101">
    <w:name w:val="(1)0標題 字元"/>
    <w:link w:val="100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001">
    <w:name w:val="001.全部標題"/>
    <w:basedOn w:val="a3"/>
    <w:link w:val="0010"/>
    <w:rsid w:val="00A52886"/>
    <w:pPr>
      <w:snapToGrid w:val="0"/>
      <w:ind w:leftChars="550" w:left="1640" w:hangingChars="100" w:hanging="32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0010">
    <w:name w:val="001.全部標題 字元"/>
    <w:link w:val="001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affa">
    <w:name w:val="大一"/>
    <w:basedOn w:val="a3"/>
    <w:rsid w:val="00A52886"/>
    <w:pPr>
      <w:spacing w:line="324" w:lineRule="auto"/>
      <w:jc w:val="both"/>
    </w:pPr>
    <w:rPr>
      <w:rFonts w:ascii="Times New Roman" w:eastAsia="華康楷書體W7" w:hAnsi="Times New Roman" w:cs="Times New Roman"/>
      <w:sz w:val="48"/>
      <w:szCs w:val="24"/>
    </w:rPr>
  </w:style>
  <w:style w:type="paragraph" w:customStyle="1" w:styleId="17">
    <w:name w:val="清單段落1"/>
    <w:basedOn w:val="a3"/>
    <w:uiPriority w:val="99"/>
    <w:rsid w:val="00A52886"/>
    <w:pPr>
      <w:ind w:leftChars="200" w:left="480"/>
    </w:pPr>
    <w:rPr>
      <w:rFonts w:ascii="Times New Roman" w:hAnsi="Times New Roman" w:cs="Times New Roman"/>
      <w:szCs w:val="24"/>
    </w:rPr>
  </w:style>
  <w:style w:type="paragraph" w:styleId="affb">
    <w:name w:val="annotation subject"/>
    <w:basedOn w:val="af2"/>
    <w:next w:val="af2"/>
    <w:link w:val="affc"/>
    <w:rsid w:val="00A52886"/>
    <w:pPr>
      <w:tabs>
        <w:tab w:val="left" w:pos="900"/>
      </w:tabs>
      <w:suppressAutoHyphens/>
      <w:autoSpaceDE w:val="0"/>
      <w:autoSpaceDN w:val="0"/>
      <w:snapToGrid w:val="0"/>
      <w:spacing w:line="500" w:lineRule="exact"/>
      <w:ind w:left="640" w:hanging="480"/>
      <w:textAlignment w:val="baseline"/>
    </w:pPr>
    <w:rPr>
      <w:rFonts w:ascii="標楷體" w:hAnsi="標楷體"/>
      <w:b/>
      <w:bCs/>
      <w:kern w:val="0"/>
    </w:rPr>
  </w:style>
  <w:style w:type="character" w:customStyle="1" w:styleId="affc">
    <w:name w:val="註解主旨 字元"/>
    <w:link w:val="affb"/>
    <w:rsid w:val="00A52886"/>
    <w:rPr>
      <w:rFonts w:ascii="標楷體" w:eastAsia="標楷體" w:hAnsi="標楷體" w:cs="Times New Roman"/>
      <w:b/>
      <w:bCs/>
      <w:kern w:val="0"/>
      <w:sz w:val="32"/>
      <w:szCs w:val="32"/>
    </w:rPr>
  </w:style>
  <w:style w:type="paragraph" w:customStyle="1" w:styleId="affd">
    <w:name w:val="字元 字元 字元"/>
    <w:basedOn w:val="a3"/>
    <w:rsid w:val="00A52886"/>
    <w:pPr>
      <w:widowControl/>
      <w:suppressAutoHyphens/>
      <w:autoSpaceDN w:val="0"/>
      <w:spacing w:after="160" w:line="240" w:lineRule="exact"/>
      <w:ind w:hanging="359"/>
      <w:textAlignment w:val="baseline"/>
    </w:pPr>
    <w:rPr>
      <w:rFonts w:ascii="Tahoma" w:hAnsi="Tahoma" w:cs="標楷體"/>
      <w:kern w:val="0"/>
      <w:sz w:val="20"/>
      <w:szCs w:val="20"/>
      <w:lang w:eastAsia="en-US"/>
    </w:rPr>
  </w:style>
  <w:style w:type="paragraph" w:customStyle="1" w:styleId="affe">
    <w:name w:val="公文(共用樣式)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sz w:val="24"/>
      <w:lang w:bidi="he-IL"/>
    </w:rPr>
  </w:style>
  <w:style w:type="paragraph" w:customStyle="1" w:styleId="afff">
    <w:name w:val="行文單位正本"/>
    <w:basedOn w:val="a3"/>
    <w:rsid w:val="00A52886"/>
    <w:pPr>
      <w:suppressAutoHyphens/>
      <w:autoSpaceDN w:val="0"/>
      <w:snapToGrid w:val="0"/>
      <w:ind w:left="851" w:hanging="851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ff0">
    <w:name w:val="Strong"/>
    <w:uiPriority w:val="99"/>
    <w:qFormat/>
    <w:rsid w:val="00A52886"/>
    <w:rPr>
      <w:b/>
      <w:bCs/>
    </w:rPr>
  </w:style>
  <w:style w:type="paragraph" w:customStyle="1" w:styleId="afff1">
    <w:name w:val="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eastAsia="Times New Roman" w:hAnsi="Tahoma" w:cs="Times New Roman"/>
      <w:kern w:val="0"/>
      <w:sz w:val="20"/>
      <w:szCs w:val="20"/>
      <w:lang w:eastAsia="en-US"/>
    </w:rPr>
  </w:style>
  <w:style w:type="paragraph" w:customStyle="1" w:styleId="18">
    <w:name w:val="樣式1"/>
    <w:basedOn w:val="a3"/>
    <w:rsid w:val="00A52886"/>
    <w:pPr>
      <w:suppressAutoHyphens/>
      <w:autoSpaceDN w:val="0"/>
      <w:spacing w:line="520" w:lineRule="exact"/>
      <w:ind w:firstLine="641"/>
      <w:textAlignment w:val="baseline"/>
    </w:pPr>
    <w:rPr>
      <w:rFonts w:ascii="Times New Roman" w:eastAsia="標楷體" w:hAnsi="Times New Roman" w:cs="Times New Roman"/>
      <w:kern w:val="3"/>
      <w:sz w:val="32"/>
      <w:szCs w:val="24"/>
    </w:rPr>
  </w:style>
  <w:style w:type="paragraph" w:customStyle="1" w:styleId="afff2">
    <w:name w:val="(一)"/>
    <w:basedOn w:val="a3"/>
    <w:link w:val="afff3"/>
    <w:uiPriority w:val="99"/>
    <w:rsid w:val="00A52886"/>
    <w:pPr>
      <w:suppressAutoHyphens/>
      <w:autoSpaceDN w:val="0"/>
      <w:spacing w:line="348" w:lineRule="auto"/>
      <w:ind w:left="84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style71">
    <w:name w:val="style71"/>
    <w:rsid w:val="00A52886"/>
    <w:rPr>
      <w:sz w:val="27"/>
      <w:szCs w:val="27"/>
    </w:rPr>
  </w:style>
  <w:style w:type="paragraph" w:customStyle="1" w:styleId="19">
    <w:name w:val="字元 字元1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style861">
    <w:name w:val="style861"/>
    <w:basedOn w:val="a4"/>
    <w:rsid w:val="00A52886"/>
  </w:style>
  <w:style w:type="paragraph" w:customStyle="1" w:styleId="-">
    <w:name w:val="一-內文"/>
    <w:basedOn w:val="a3"/>
    <w:uiPriority w:val="99"/>
    <w:rsid w:val="00A52886"/>
    <w:pPr>
      <w:suppressAutoHyphens/>
      <w:autoSpaceDN w:val="0"/>
      <w:snapToGrid w:val="0"/>
      <w:spacing w:line="674" w:lineRule="exact"/>
      <w:ind w:left="1282"/>
      <w:jc w:val="both"/>
      <w:textAlignment w:val="baseline"/>
    </w:pPr>
    <w:rPr>
      <w:rFonts w:ascii="標楷體" w:eastAsia="標楷體" w:hAnsi="標楷體" w:cs="Times New Roman"/>
      <w:bCs/>
      <w:kern w:val="3"/>
      <w:sz w:val="40"/>
      <w:szCs w:val="28"/>
    </w:rPr>
  </w:style>
  <w:style w:type="paragraph" w:customStyle="1" w:styleId="afff4">
    <w:name w:val="出席單位"/>
    <w:basedOn w:val="a3"/>
    <w:rsid w:val="00A52886"/>
    <w:pPr>
      <w:suppressAutoHyphens/>
      <w:wordWrap w:val="0"/>
      <w:autoSpaceDN w:val="0"/>
      <w:snapToGrid w:val="0"/>
      <w:ind w:left="1134" w:hanging="1134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1a">
    <w:name w:val="1 字元"/>
    <w:basedOn w:val="a3"/>
    <w:rsid w:val="00A52886"/>
    <w:pPr>
      <w:widowControl/>
      <w:tabs>
        <w:tab w:val="left" w:pos="360"/>
        <w:tab w:val="left" w:pos="540"/>
        <w:tab w:val="left" w:pos="900"/>
      </w:tabs>
      <w:suppressAutoHyphens/>
      <w:autoSpaceDE w:val="0"/>
      <w:autoSpaceDN w:val="0"/>
      <w:snapToGrid w:val="0"/>
      <w:spacing w:after="160" w:line="240" w:lineRule="exact"/>
      <w:ind w:right="363"/>
      <w:jc w:val="both"/>
      <w:textAlignment w:val="baseline"/>
    </w:pPr>
    <w:rPr>
      <w:rFonts w:ascii="Tahoma" w:eastAsia="標楷體" w:hAnsi="Tahoma" w:cs="Arial"/>
      <w:color w:val="333333"/>
      <w:kern w:val="0"/>
      <w:sz w:val="20"/>
      <w:szCs w:val="20"/>
      <w:lang w:eastAsia="en-US"/>
    </w:rPr>
  </w:style>
  <w:style w:type="character" w:customStyle="1" w:styleId="subjectclassname1">
    <w:name w:val="subjectclassname1"/>
    <w:rsid w:val="00A52886"/>
    <w:rPr>
      <w:sz w:val="15"/>
      <w:szCs w:val="15"/>
    </w:rPr>
  </w:style>
  <w:style w:type="paragraph" w:customStyle="1" w:styleId="1b">
    <w:name w:val="表左1."/>
    <w:basedOn w:val="a3"/>
    <w:rsid w:val="00A52886"/>
    <w:pPr>
      <w:suppressAutoHyphens/>
      <w:autoSpaceDN w:val="0"/>
      <w:spacing w:line="283" w:lineRule="exact"/>
      <w:ind w:left="241" w:right="31" w:hanging="210"/>
      <w:jc w:val="both"/>
      <w:textAlignment w:val="baseline"/>
    </w:pPr>
    <w:rPr>
      <w:rFonts w:ascii="Times New Roman" w:hAnsi="Times New Roman" w:cs="Times New Roman"/>
      <w:kern w:val="3"/>
      <w:sz w:val="21"/>
      <w:szCs w:val="24"/>
    </w:rPr>
  </w:style>
  <w:style w:type="paragraph" w:customStyle="1" w:styleId="afff5">
    <w:name w:val="字元 字元 字元 字元 字元 字元 字元 字元 字元 字元 字元 字元 字元"/>
    <w:basedOn w:val="a3"/>
    <w:uiPriority w:val="99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4"/>
    <w:rsid w:val="00A52886"/>
  </w:style>
  <w:style w:type="paragraph" w:customStyle="1" w:styleId="1c">
    <w:name w:val="1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c16">
    <w:name w:val="c16"/>
    <w:basedOn w:val="a3"/>
    <w:rsid w:val="00A52886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unnamed11">
    <w:name w:val="unnamed11"/>
    <w:rsid w:val="00A52886"/>
    <w:rPr>
      <w:color w:val="666666"/>
      <w:sz w:val="24"/>
      <w:szCs w:val="24"/>
    </w:rPr>
  </w:style>
  <w:style w:type="paragraph" w:customStyle="1" w:styleId="afff6">
    <w:name w:val="本文 + 標楷體"/>
    <w:basedOn w:val="a3"/>
    <w:rsid w:val="00A52886"/>
    <w:pPr>
      <w:suppressAutoHyphens/>
      <w:autoSpaceDN w:val="0"/>
      <w:ind w:left="820" w:hanging="280"/>
      <w:textAlignment w:val="baseline"/>
    </w:pPr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textsize1">
    <w:name w:val="textsize1"/>
    <w:rsid w:val="00A52886"/>
    <w:rPr>
      <w:sz w:val="21"/>
      <w:szCs w:val="21"/>
    </w:rPr>
  </w:style>
  <w:style w:type="paragraph" w:customStyle="1" w:styleId="1d">
    <w:name w:val="1."/>
    <w:basedOn w:val="a3"/>
    <w:uiPriority w:val="99"/>
    <w:rsid w:val="00A52886"/>
    <w:pPr>
      <w:suppressAutoHyphens/>
      <w:autoSpaceDN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華康楷書體W5" w:cs="Times New Roman"/>
      <w:kern w:val="0"/>
      <w:sz w:val="32"/>
      <w:szCs w:val="20"/>
    </w:rPr>
  </w:style>
  <w:style w:type="character" w:customStyle="1" w:styleId="1e">
    <w:name w:val="1. 字元"/>
    <w:rsid w:val="00A52886"/>
    <w:rPr>
      <w:rFonts w:ascii="華康楷書體W5" w:eastAsia="華康楷書體W5" w:hAnsi="華康楷書體W5"/>
      <w:sz w:val="32"/>
      <w:lang w:val="en-US" w:eastAsia="zh-TW" w:bidi="ar-SA"/>
    </w:rPr>
  </w:style>
  <w:style w:type="paragraph" w:customStyle="1" w:styleId="1f">
    <w:name w:val="(1)"/>
    <w:basedOn w:val="a3"/>
    <w:uiPriority w:val="99"/>
    <w:rsid w:val="00A52886"/>
    <w:pPr>
      <w:suppressAutoHyphens/>
      <w:autoSpaceDN w:val="0"/>
      <w:spacing w:line="400" w:lineRule="exact"/>
      <w:ind w:left="550" w:hanging="25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character" w:customStyle="1" w:styleId="1f0">
    <w:name w:val="(1) 字元"/>
    <w:rsid w:val="00A52886"/>
    <w:rPr>
      <w:rFonts w:eastAsia="標楷體"/>
      <w:kern w:val="3"/>
      <w:sz w:val="28"/>
      <w:szCs w:val="24"/>
      <w:lang w:val="en-US" w:eastAsia="zh-TW" w:bidi="ar-SA"/>
    </w:rPr>
  </w:style>
  <w:style w:type="paragraph" w:customStyle="1" w:styleId="0001">
    <w:name w:val="0001.正確二行標題"/>
    <w:basedOn w:val="a3"/>
    <w:link w:val="00010"/>
    <w:rsid w:val="00A52886"/>
    <w:pPr>
      <w:suppressAutoHyphens/>
      <w:autoSpaceDN w:val="0"/>
      <w:snapToGrid w:val="0"/>
      <w:ind w:hanging="362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styleId="afff7">
    <w:name w:val="Closing"/>
    <w:basedOn w:val="a3"/>
    <w:link w:val="afff8"/>
    <w:rsid w:val="00A52886"/>
    <w:pPr>
      <w:suppressAutoHyphens/>
      <w:autoSpaceDN w:val="0"/>
      <w:ind w:left="10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  <w:style w:type="character" w:customStyle="1" w:styleId="afff8">
    <w:name w:val="結語 字元"/>
    <w:link w:val="afff7"/>
    <w:rsid w:val="00A52886"/>
    <w:rPr>
      <w:rFonts w:ascii="標楷體" w:eastAsia="標楷體" w:hAnsi="標楷體" w:cs="Times New Roman"/>
      <w:color w:val="000000"/>
      <w:kern w:val="3"/>
      <w:sz w:val="28"/>
      <w:szCs w:val="28"/>
    </w:rPr>
  </w:style>
  <w:style w:type="paragraph" w:customStyle="1" w:styleId="afff9">
    <w:name w:val="分項段落"/>
    <w:basedOn w:val="a3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1f1">
    <w:name w:val="字元1 字元 字元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f2">
    <w:name w:val="1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71">
    <w:name w:val="字元 字元7"/>
    <w:rsid w:val="00A52886"/>
    <w:rPr>
      <w:rFonts w:ascii="新細明體" w:eastAsia="新細明體" w:hAnsi="新細明體"/>
      <w:b/>
      <w:sz w:val="24"/>
      <w:lang w:val="en-US" w:eastAsia="zh-TW" w:bidi="ar-SA"/>
    </w:rPr>
  </w:style>
  <w:style w:type="paragraph" w:customStyle="1" w:styleId="1f3">
    <w:name w:val="字元 字元 字元 字元 字元 字元 字元 字元 字元1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fa">
    <w:name w:val="(一)標題"/>
    <w:basedOn w:val="a3"/>
    <w:rsid w:val="00A52886"/>
    <w:pPr>
      <w:suppressAutoHyphens/>
      <w:autoSpaceDN w:val="0"/>
      <w:snapToGrid w:val="0"/>
      <w:ind w:firstLine="673"/>
      <w:jc w:val="both"/>
      <w:textAlignment w:val="baseline"/>
      <w:outlineLvl w:val="1"/>
    </w:pPr>
    <w:rPr>
      <w:rFonts w:ascii="標楷體" w:eastAsia="標楷體" w:hAnsi="標楷體" w:cs="Times New Roman"/>
      <w:b/>
      <w:color w:val="FF0000"/>
      <w:kern w:val="3"/>
      <w:sz w:val="32"/>
      <w:szCs w:val="32"/>
    </w:rPr>
  </w:style>
  <w:style w:type="paragraph" w:customStyle="1" w:styleId="1f4">
    <w:name w:val="1.大遼內文"/>
    <w:basedOn w:val="a3"/>
    <w:rsid w:val="00A52886"/>
    <w:pPr>
      <w:suppressAutoHyphens/>
      <w:autoSpaceDN w:val="0"/>
      <w:snapToGrid w:val="0"/>
      <w:ind w:left="1620" w:firstLine="608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5">
    <w:name w:val="1.大遼內文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paragraph" w:customStyle="1" w:styleId="1f6">
    <w:name w:val="(1)第一標題"/>
    <w:basedOn w:val="a3"/>
    <w:rsid w:val="00A52886"/>
    <w:pPr>
      <w:suppressAutoHyphens/>
      <w:autoSpaceDN w:val="0"/>
      <w:snapToGrid w:val="0"/>
      <w:ind w:left="2158" w:hanging="540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7">
    <w:name w:val="(1)第一標題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character" w:customStyle="1" w:styleId="afffb">
    <w:name w:val="(一)標題 字元"/>
    <w:rsid w:val="00A52886"/>
    <w:rPr>
      <w:rFonts w:ascii="標楷體" w:eastAsia="標楷體" w:hAnsi="標楷體"/>
      <w:b/>
      <w:color w:val="FF0000"/>
      <w:kern w:val="3"/>
      <w:sz w:val="32"/>
      <w:szCs w:val="32"/>
      <w:lang w:val="en-US" w:eastAsia="zh-TW" w:bidi="ar-SA"/>
    </w:rPr>
  </w:style>
  <w:style w:type="character" w:styleId="afffc">
    <w:name w:val="annotation reference"/>
    <w:rsid w:val="00A52886"/>
    <w:rPr>
      <w:sz w:val="18"/>
      <w:szCs w:val="18"/>
    </w:rPr>
  </w:style>
  <w:style w:type="character" w:customStyle="1" w:styleId="dialogtext1">
    <w:name w:val="dialog_text1"/>
    <w:rsid w:val="00A52886"/>
    <w:rPr>
      <w:rFonts w:ascii="sөũ" w:hAnsi="sөũ"/>
      <w:color w:val="000000"/>
      <w:sz w:val="24"/>
      <w:szCs w:val="24"/>
    </w:rPr>
  </w:style>
  <w:style w:type="character" w:customStyle="1" w:styleId="NormalWebChar">
    <w:name w:val="Normal (Web) Char"/>
    <w:rsid w:val="00A52886"/>
    <w:rPr>
      <w:rFonts w:ascii="新細明體" w:eastAsia="細明體" w:hAnsi="新細明體"/>
      <w:sz w:val="24"/>
      <w:lang w:val="en-US" w:eastAsia="zh-TW" w:bidi="ar-SA"/>
    </w:rPr>
  </w:style>
  <w:style w:type="paragraph" w:customStyle="1" w:styleId="01">
    <w:name w:val="01.內文"/>
    <w:basedOn w:val="a3"/>
    <w:rsid w:val="00A52886"/>
    <w:pPr>
      <w:suppressAutoHyphens/>
      <w:autoSpaceDN w:val="0"/>
      <w:snapToGrid w:val="0"/>
      <w:ind w:left="1680" w:firstLine="640"/>
      <w:jc w:val="both"/>
      <w:textAlignment w:val="baseline"/>
    </w:pPr>
    <w:rPr>
      <w:rFonts w:ascii="標楷體" w:eastAsia="標楷體" w:hAnsi="標楷體" w:cs="Times New Roman"/>
      <w:color w:val="0000FF"/>
      <w:kern w:val="3"/>
      <w:sz w:val="32"/>
      <w:szCs w:val="32"/>
    </w:rPr>
  </w:style>
  <w:style w:type="paragraph" w:customStyle="1" w:styleId="a00">
    <w:name w:val="a00標"/>
    <w:basedOn w:val="a3"/>
    <w:rsid w:val="00A52886"/>
    <w:pPr>
      <w:suppressAutoHyphens/>
      <w:autoSpaceDN w:val="0"/>
      <w:snapToGrid w:val="0"/>
      <w:ind w:left="2480" w:hanging="320"/>
      <w:jc w:val="both"/>
      <w:textAlignment w:val="baseline"/>
    </w:pPr>
    <w:rPr>
      <w:rFonts w:ascii="標楷體" w:eastAsia="標楷體" w:hAnsi="標楷體" w:cs="MS Mincho"/>
      <w:color w:val="0000FF"/>
      <w:kern w:val="3"/>
      <w:sz w:val="32"/>
      <w:szCs w:val="32"/>
    </w:rPr>
  </w:style>
  <w:style w:type="paragraph" w:styleId="Web">
    <w:name w:val="Normal (Web)"/>
    <w:basedOn w:val="a3"/>
    <w:uiPriority w:val="99"/>
    <w:rsid w:val="00A52886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Cs w:val="24"/>
    </w:rPr>
  </w:style>
  <w:style w:type="character" w:customStyle="1" w:styleId="010">
    <w:name w:val="01.內文 字元"/>
    <w:rsid w:val="00A52886"/>
    <w:rPr>
      <w:rFonts w:ascii="標楷體" w:eastAsia="標楷體" w:hAnsi="標楷體"/>
      <w:color w:val="0000FF"/>
      <w:kern w:val="3"/>
      <w:sz w:val="32"/>
      <w:szCs w:val="32"/>
    </w:rPr>
  </w:style>
  <w:style w:type="paragraph" w:customStyle="1" w:styleId="tab42">
    <w:name w:val="_tab42一"/>
    <w:basedOn w:val="a3"/>
    <w:rsid w:val="00A52886"/>
    <w:pPr>
      <w:spacing w:line="320" w:lineRule="exact"/>
      <w:ind w:left="200" w:hangingChars="200" w:hanging="200"/>
      <w:jc w:val="both"/>
    </w:pPr>
    <w:rPr>
      <w:rFonts w:ascii="Times New Roman" w:eastAsia="標楷體" w:hAnsi="Times New Roman" w:cs="Times New Roman"/>
      <w:color w:val="993300"/>
      <w:sz w:val="32"/>
      <w:szCs w:val="24"/>
    </w:rPr>
  </w:style>
  <w:style w:type="character" w:customStyle="1" w:styleId="afe">
    <w:name w:val="清單段落 字元"/>
    <w:aliases w:val="標題 (4) 字元,List Paragraph 字元,1.1.1.1清單段落 字元,列點 字元"/>
    <w:link w:val="15"/>
    <w:locked/>
    <w:rsid w:val="00A52886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A52886"/>
    <w:pPr>
      <w:widowControl w:val="0"/>
      <w:autoSpaceDE w:val="0"/>
      <w:autoSpaceDN w:val="0"/>
      <w:adjustRightInd w:val="0"/>
    </w:pPr>
    <w:rPr>
      <w:rFonts w:ascii="DFYuanBold-B5" w:eastAsia="DFYuanBold-B5" w:cs="DFYuanBold-B5"/>
      <w:color w:val="000000"/>
      <w:sz w:val="24"/>
      <w:szCs w:val="24"/>
    </w:rPr>
  </w:style>
  <w:style w:type="paragraph" w:customStyle="1" w:styleId="Afffd">
    <w:name w:val="內文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A0">
    <w:name w:val="內文 A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fffe">
    <w:name w:val="二、"/>
    <w:basedOn w:val="a3"/>
    <w:rsid w:val="00A52886"/>
    <w:pPr>
      <w:spacing w:line="360" w:lineRule="exact"/>
      <w:ind w:leftChars="-100" w:left="-240"/>
      <w:jc w:val="both"/>
    </w:pPr>
    <w:rPr>
      <w:rFonts w:ascii="文鼎粗黑" w:eastAsia="文鼎粗黑" w:hAnsi="標楷體" w:cs="Times New Roman"/>
      <w:spacing w:val="-2"/>
      <w:sz w:val="28"/>
      <w:szCs w:val="28"/>
    </w:rPr>
  </w:style>
  <w:style w:type="paragraph" w:customStyle="1" w:styleId="25">
    <w:name w:val="2."/>
    <w:basedOn w:val="aff0"/>
    <w:link w:val="26"/>
    <w:rsid w:val="00A52886"/>
    <w:pPr>
      <w:adjustRightInd w:val="0"/>
      <w:snapToGrid w:val="0"/>
      <w:spacing w:line="360" w:lineRule="exact"/>
      <w:ind w:leftChars="200" w:left="701" w:hangingChars="80" w:hanging="221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26">
    <w:name w:val="2. 字元"/>
    <w:link w:val="25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">
    <w:name w:val="(二)"/>
    <w:basedOn w:val="a3"/>
    <w:link w:val="affff0"/>
    <w:rsid w:val="00A52886"/>
    <w:pPr>
      <w:spacing w:line="360" w:lineRule="exact"/>
      <w:ind w:left="497" w:hangingChars="180" w:hanging="497"/>
      <w:jc w:val="both"/>
    </w:pPr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affff1">
    <w:name w:val="(二)內文"/>
    <w:basedOn w:val="aff0"/>
    <w:link w:val="affff2"/>
    <w:rsid w:val="00A52886"/>
    <w:pPr>
      <w:adjustRightInd w:val="0"/>
      <w:snapToGrid w:val="0"/>
      <w:spacing w:line="360" w:lineRule="exact"/>
      <w:ind w:leftChars="200" w:left="480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affff2">
    <w:name w:val="(二)內文 字元"/>
    <w:link w:val="affff1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102">
    <w:name w:val="10."/>
    <w:basedOn w:val="25"/>
    <w:rsid w:val="00A52886"/>
    <w:pPr>
      <w:ind w:left="839" w:hangingChars="130" w:hanging="359"/>
    </w:pPr>
  </w:style>
  <w:style w:type="paragraph" w:customStyle="1" w:styleId="affff3">
    <w:name w:val="(二) + 非粗體"/>
    <w:aliases w:val="左:  0 cm,凸出:  2.8 字十一、細"/>
    <w:basedOn w:val="affff"/>
    <w:rsid w:val="00A52886"/>
    <w:pPr>
      <w:ind w:left="773" w:hangingChars="280" w:hanging="773"/>
    </w:pPr>
    <w:rPr>
      <w:b w:val="0"/>
    </w:rPr>
  </w:style>
  <w:style w:type="paragraph" w:customStyle="1" w:styleId="affff4">
    <w:name w:val="_摘(一)"/>
    <w:basedOn w:val="a3"/>
    <w:rsid w:val="00A52886"/>
    <w:pPr>
      <w:adjustRightInd w:val="0"/>
      <w:snapToGrid w:val="0"/>
      <w:spacing w:line="480" w:lineRule="exact"/>
      <w:ind w:leftChars="385" w:left="1485" w:hangingChars="175" w:hanging="561"/>
      <w:jc w:val="both"/>
    </w:pPr>
    <w:rPr>
      <w:rFonts w:ascii="Times New Roman" w:eastAsia="標楷體" w:hAnsi="Times New Roman" w:cs="Times New Roman"/>
      <w:b/>
      <w:bCs/>
      <w:color w:val="008000"/>
      <w:sz w:val="32"/>
      <w:szCs w:val="28"/>
    </w:rPr>
  </w:style>
  <w:style w:type="paragraph" w:customStyle="1" w:styleId="27">
    <w:name w:val="(2)"/>
    <w:basedOn w:val="25"/>
    <w:link w:val="28"/>
    <w:rsid w:val="00A52886"/>
    <w:pPr>
      <w:ind w:leftChars="300" w:left="1079" w:hangingChars="130" w:hanging="359"/>
    </w:pPr>
    <w:rPr>
      <w:kern w:val="0"/>
    </w:rPr>
  </w:style>
  <w:style w:type="paragraph" w:customStyle="1" w:styleId="29">
    <w:name w:val="2.內文"/>
    <w:basedOn w:val="25"/>
    <w:link w:val="2a"/>
    <w:rsid w:val="00A52886"/>
    <w:pPr>
      <w:ind w:leftChars="292" w:left="292" w:firstLineChars="0" w:firstLine="0"/>
    </w:pPr>
  </w:style>
  <w:style w:type="character" w:customStyle="1" w:styleId="2a">
    <w:name w:val="2.內文 字元"/>
    <w:link w:val="29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5">
    <w:name w:val="_摘(一)內"/>
    <w:basedOn w:val="a3"/>
    <w:rsid w:val="00A52886"/>
    <w:pPr>
      <w:adjustRightInd w:val="0"/>
      <w:snapToGrid w:val="0"/>
      <w:spacing w:line="480" w:lineRule="exact"/>
      <w:ind w:leftChars="600" w:left="1440"/>
      <w:jc w:val="both"/>
    </w:pPr>
    <w:rPr>
      <w:rFonts w:ascii="Times New Roman" w:eastAsia="標楷體" w:hAnsi="Times New Roman" w:cs="Times New Roman"/>
      <w:color w:val="993366"/>
      <w:sz w:val="32"/>
      <w:szCs w:val="28"/>
    </w:rPr>
  </w:style>
  <w:style w:type="paragraph" w:customStyle="1" w:styleId="affff6">
    <w:name w:val="附錄文"/>
    <w:basedOn w:val="a3"/>
    <w:rsid w:val="00A52886"/>
    <w:pPr>
      <w:autoSpaceDE w:val="0"/>
      <w:autoSpaceDN w:val="0"/>
      <w:adjustRightInd w:val="0"/>
      <w:spacing w:line="220" w:lineRule="atLeast"/>
      <w:ind w:firstLine="397"/>
      <w:jc w:val="both"/>
      <w:textAlignment w:val="center"/>
    </w:pPr>
    <w:rPr>
      <w:rFonts w:ascii="華康中明體" w:eastAsia="華康中明體" w:hAnsi="Times New Roman" w:cs="華康中明體"/>
      <w:color w:val="002050"/>
      <w:w w:val="105"/>
      <w:kern w:val="0"/>
      <w:sz w:val="18"/>
      <w:szCs w:val="18"/>
      <w:lang w:val="zh-TW"/>
    </w:rPr>
  </w:style>
  <w:style w:type="paragraph" w:styleId="affff7">
    <w:name w:val="Subtitle"/>
    <w:basedOn w:val="a3"/>
    <w:next w:val="a3"/>
    <w:link w:val="affff8"/>
    <w:uiPriority w:val="99"/>
    <w:qFormat/>
    <w:rsid w:val="00A52886"/>
    <w:pPr>
      <w:spacing w:after="60"/>
      <w:jc w:val="center"/>
      <w:outlineLvl w:val="1"/>
    </w:pPr>
    <w:rPr>
      <w:rFonts w:ascii="Cambria" w:hAnsi="Cambria" w:cs="Times New Roman"/>
      <w:i/>
      <w:iCs/>
      <w:szCs w:val="24"/>
    </w:rPr>
  </w:style>
  <w:style w:type="character" w:customStyle="1" w:styleId="affff8">
    <w:name w:val="副標題 字元"/>
    <w:link w:val="affff7"/>
    <w:uiPriority w:val="99"/>
    <w:rsid w:val="00A52886"/>
    <w:rPr>
      <w:rFonts w:ascii="Cambria" w:eastAsia="新細明體" w:hAnsi="Cambria" w:cs="Times New Roman"/>
      <w:i/>
      <w:iCs/>
      <w:szCs w:val="24"/>
    </w:rPr>
  </w:style>
  <w:style w:type="character" w:customStyle="1" w:styleId="afff3">
    <w:name w:val="(一) 字元"/>
    <w:link w:val="afff2"/>
    <w:uiPriority w:val="99"/>
    <w:locked/>
    <w:rsid w:val="00A52886"/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00010">
    <w:name w:val="0001.正確二行標題 字元"/>
    <w:link w:val="0001"/>
    <w:rsid w:val="00A52886"/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customStyle="1" w:styleId="1f8">
    <w:name w:val="(1)內文"/>
    <w:basedOn w:val="a3"/>
    <w:link w:val="1f9"/>
    <w:rsid w:val="00A52886"/>
    <w:pPr>
      <w:snapToGrid w:val="0"/>
      <w:ind w:leftChars="870" w:left="2088" w:firstLine="652"/>
      <w:jc w:val="both"/>
    </w:pPr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character" w:customStyle="1" w:styleId="1f9">
    <w:name w:val="(1)內文 字元"/>
    <w:link w:val="1f8"/>
    <w:rsid w:val="00A52886"/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paragraph" w:customStyle="1" w:styleId="affff9">
    <w:name w:val="一"/>
    <w:basedOn w:val="a3"/>
    <w:uiPriority w:val="99"/>
    <w:rsid w:val="00A52886"/>
    <w:pPr>
      <w:adjustRightInd w:val="0"/>
      <w:snapToGrid w:val="0"/>
      <w:spacing w:line="404" w:lineRule="exact"/>
      <w:jc w:val="both"/>
    </w:pPr>
    <w:rPr>
      <w:rFonts w:ascii="標楷體" w:eastAsia="中國龍粗黑體" w:hAnsi="標楷體" w:cs="Times New Roman"/>
      <w:sz w:val="28"/>
      <w:szCs w:val="32"/>
    </w:rPr>
  </w:style>
  <w:style w:type="paragraph" w:customStyle="1" w:styleId="affffa">
    <w:name w:val="主文"/>
    <w:basedOn w:val="a3"/>
    <w:rsid w:val="00A52886"/>
    <w:pPr>
      <w:spacing w:beforeLines="50" w:afterLines="50" w:line="400" w:lineRule="exact"/>
      <w:ind w:firstLineChars="200" w:firstLine="520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st1">
    <w:name w:val="st1"/>
    <w:basedOn w:val="a4"/>
    <w:rsid w:val="00A52886"/>
  </w:style>
  <w:style w:type="character" w:customStyle="1" w:styleId="ap20">
    <w:name w:val="ap20"/>
    <w:basedOn w:val="a4"/>
    <w:rsid w:val="00A52886"/>
  </w:style>
  <w:style w:type="paragraph" w:customStyle="1" w:styleId="1fa">
    <w:name w:val="_摘1"/>
    <w:basedOn w:val="a3"/>
    <w:rsid w:val="00A52886"/>
    <w:pPr>
      <w:widowControl/>
      <w:spacing w:line="480" w:lineRule="exact"/>
      <w:ind w:leftChars="600" w:left="1680" w:hangingChars="75" w:hanging="240"/>
      <w:jc w:val="both"/>
    </w:pPr>
    <w:rPr>
      <w:rFonts w:ascii="Times New Roman" w:eastAsia="標楷體" w:hAnsi="Times New Roman" w:cs="Times New Roman"/>
      <w:color w:val="008080"/>
      <w:kern w:val="0"/>
      <w:sz w:val="32"/>
      <w:szCs w:val="24"/>
    </w:rPr>
  </w:style>
  <w:style w:type="paragraph" w:customStyle="1" w:styleId="1fb">
    <w:name w:val="1.內文"/>
    <w:basedOn w:val="a3"/>
    <w:rsid w:val="00A52886"/>
    <w:pPr>
      <w:widowControl/>
      <w:ind w:leftChars="817" w:left="2310" w:hangingChars="109" w:hanging="349"/>
      <w:jc w:val="both"/>
    </w:pPr>
    <w:rPr>
      <w:rFonts w:ascii="標楷體" w:eastAsia="標楷體" w:hAnsi="標楷體" w:cs="Times New Roman"/>
      <w:sz w:val="32"/>
      <w:szCs w:val="24"/>
    </w:rPr>
  </w:style>
  <w:style w:type="paragraph" w:customStyle="1" w:styleId="Affffb">
    <w:name w:val="A."/>
    <w:basedOn w:val="1f"/>
    <w:rsid w:val="00A52886"/>
    <w:pPr>
      <w:suppressAutoHyphens w:val="0"/>
      <w:autoSpaceDN/>
      <w:adjustRightInd w:val="0"/>
      <w:snapToGrid w:val="0"/>
      <w:spacing w:line="404" w:lineRule="exact"/>
      <w:ind w:leftChars="550" w:left="0" w:hangingChars="100" w:hanging="100"/>
      <w:textAlignment w:val="auto"/>
    </w:pPr>
    <w:rPr>
      <w:rFonts w:ascii="標楷體" w:hAnsi="標楷體"/>
      <w:kern w:val="2"/>
      <w:szCs w:val="28"/>
    </w:rPr>
  </w:style>
  <w:style w:type="character" w:customStyle="1" w:styleId="st">
    <w:name w:val="st"/>
    <w:basedOn w:val="a4"/>
    <w:rsid w:val="00A52886"/>
  </w:style>
  <w:style w:type="paragraph" w:customStyle="1" w:styleId="1XXXXXX">
    <w:name w:val="1.XXXXXX"/>
    <w:autoRedefine/>
    <w:rsid w:val="00A52886"/>
    <w:pPr>
      <w:spacing w:line="500" w:lineRule="exact"/>
      <w:ind w:leftChars="350" w:left="840"/>
      <w:jc w:val="both"/>
    </w:pPr>
    <w:rPr>
      <w:rFonts w:ascii="Times New Roman" w:eastAsia="標楷體" w:hAnsi="Times New Roman" w:cs="Times New Roman"/>
      <w:kern w:val="2"/>
      <w:sz w:val="32"/>
      <w:szCs w:val="32"/>
    </w:rPr>
  </w:style>
  <w:style w:type="paragraph" w:customStyle="1" w:styleId="affffc">
    <w:name w:val="(一)內文"/>
    <w:basedOn w:val="a3"/>
    <w:link w:val="affffd"/>
    <w:rsid w:val="00A52886"/>
    <w:pPr>
      <w:adjustRightInd w:val="0"/>
      <w:snapToGrid w:val="0"/>
      <w:ind w:leftChars="525" w:left="1260" w:firstLineChars="230" w:firstLine="736"/>
      <w:jc w:val="both"/>
    </w:pPr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character" w:customStyle="1" w:styleId="affffd">
    <w:name w:val="(一)內文 字元"/>
    <w:link w:val="affffc"/>
    <w:rsid w:val="00A52886"/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paragraph" w:styleId="1fc">
    <w:name w:val="toc 1"/>
    <w:basedOn w:val="a3"/>
    <w:next w:val="a3"/>
    <w:autoRedefine/>
    <w:uiPriority w:val="39"/>
    <w:rsid w:val="00A52886"/>
    <w:rPr>
      <w:rFonts w:ascii="Times New Roman" w:hAnsi="Times New Roman" w:cs="Times New Roman"/>
      <w:szCs w:val="24"/>
    </w:rPr>
  </w:style>
  <w:style w:type="paragraph" w:styleId="2b">
    <w:name w:val="toc 2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220"/>
    </w:pPr>
    <w:rPr>
      <w:rFonts w:cs="Times New Roman"/>
      <w:kern w:val="0"/>
      <w:sz w:val="22"/>
    </w:rPr>
  </w:style>
  <w:style w:type="paragraph" w:styleId="33">
    <w:name w:val="toc 3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440"/>
    </w:pPr>
    <w:rPr>
      <w:rFonts w:cs="Times New Roman"/>
      <w:kern w:val="0"/>
      <w:sz w:val="22"/>
    </w:rPr>
  </w:style>
  <w:style w:type="character" w:customStyle="1" w:styleId="eng-name">
    <w:name w:val="eng-name"/>
    <w:rsid w:val="00A52886"/>
  </w:style>
  <w:style w:type="paragraph" w:customStyle="1" w:styleId="affffe">
    <w:name w:val="數字Ａ"/>
    <w:basedOn w:val="a3"/>
    <w:rsid w:val="00A52886"/>
    <w:pPr>
      <w:ind w:leftChars="750" w:left="2520" w:hangingChars="180" w:hanging="720"/>
    </w:pPr>
    <w:rPr>
      <w:rFonts w:ascii="Times New Roman" w:eastAsia="標楷體" w:hAnsi="Times New Roman" w:cs="Times New Roman"/>
      <w:sz w:val="40"/>
      <w:szCs w:val="20"/>
    </w:rPr>
  </w:style>
  <w:style w:type="numbering" w:styleId="111111">
    <w:name w:val="Outline List 2"/>
    <w:basedOn w:val="a6"/>
    <w:semiHidden/>
    <w:rsid w:val="00A52886"/>
    <w:pPr>
      <w:numPr>
        <w:numId w:val="1"/>
      </w:numPr>
    </w:pPr>
  </w:style>
  <w:style w:type="numbering" w:styleId="1ai">
    <w:name w:val="Outline List 1"/>
    <w:basedOn w:val="a6"/>
    <w:semiHidden/>
    <w:rsid w:val="00A52886"/>
    <w:pPr>
      <w:numPr>
        <w:numId w:val="2"/>
      </w:numPr>
    </w:pPr>
  </w:style>
  <w:style w:type="character" w:styleId="HTML1">
    <w:name w:val="HTML Acronym"/>
    <w:basedOn w:val="a4"/>
    <w:semiHidden/>
    <w:rsid w:val="00A52886"/>
  </w:style>
  <w:style w:type="paragraph" w:styleId="HTML2">
    <w:name w:val="HTML Address"/>
    <w:basedOn w:val="a3"/>
    <w:link w:val="HTML3"/>
    <w:semiHidden/>
    <w:rsid w:val="00A52886"/>
    <w:rPr>
      <w:rFonts w:cs="Times New Roman"/>
      <w:i/>
      <w:iCs/>
    </w:rPr>
  </w:style>
  <w:style w:type="character" w:customStyle="1" w:styleId="HTML3">
    <w:name w:val="HTML 位址 字元"/>
    <w:link w:val="HTML2"/>
    <w:semiHidden/>
    <w:rsid w:val="00A52886"/>
    <w:rPr>
      <w:rFonts w:ascii="Calibri" w:eastAsia="新細明體" w:hAnsi="Calibri" w:cs="Times New Roman"/>
      <w:i/>
      <w:iCs/>
    </w:rPr>
  </w:style>
  <w:style w:type="character" w:styleId="HTML4">
    <w:name w:val="HTML Cite"/>
    <w:semiHidden/>
    <w:rsid w:val="00A52886"/>
    <w:rPr>
      <w:i/>
      <w:iCs/>
    </w:rPr>
  </w:style>
  <w:style w:type="character" w:styleId="HTML5">
    <w:name w:val="HTML Code"/>
    <w:semiHidden/>
    <w:rsid w:val="00A52886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A52886"/>
    <w:rPr>
      <w:i/>
      <w:iCs/>
    </w:rPr>
  </w:style>
  <w:style w:type="character" w:styleId="HTML7">
    <w:name w:val="HTML Keyboard"/>
    <w:semiHidden/>
    <w:rsid w:val="00A52886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A52886"/>
    <w:rPr>
      <w:rFonts w:ascii="Courier New" w:hAnsi="Courier New" w:cs="Courier New"/>
    </w:rPr>
  </w:style>
  <w:style w:type="character" w:styleId="HTML9">
    <w:name w:val="HTML Typewriter"/>
    <w:semiHidden/>
    <w:rsid w:val="00A52886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A52886"/>
    <w:rPr>
      <w:i/>
      <w:iCs/>
    </w:rPr>
  </w:style>
  <w:style w:type="character" w:styleId="afffff">
    <w:name w:val="FollowedHyperlink"/>
    <w:uiPriority w:val="99"/>
    <w:semiHidden/>
    <w:rsid w:val="00A52886"/>
    <w:rPr>
      <w:color w:val="800080"/>
      <w:u w:val="single"/>
    </w:rPr>
  </w:style>
  <w:style w:type="paragraph" w:styleId="afffff0">
    <w:name w:val="Normal Indent"/>
    <w:basedOn w:val="a3"/>
    <w:semiHidden/>
    <w:rsid w:val="00A52886"/>
    <w:pPr>
      <w:ind w:leftChars="200" w:left="480"/>
    </w:pPr>
    <w:rPr>
      <w:rFonts w:cs="Times New Roman"/>
    </w:rPr>
  </w:style>
  <w:style w:type="numbering" w:styleId="a2">
    <w:name w:val="Outline List 3"/>
    <w:basedOn w:val="a6"/>
    <w:semiHidden/>
    <w:rsid w:val="00A52886"/>
    <w:pPr>
      <w:numPr>
        <w:numId w:val="3"/>
      </w:numPr>
    </w:pPr>
  </w:style>
  <w:style w:type="paragraph" w:styleId="afffff1">
    <w:name w:val="Date"/>
    <w:basedOn w:val="a3"/>
    <w:next w:val="a3"/>
    <w:link w:val="afffff2"/>
    <w:uiPriority w:val="99"/>
    <w:rsid w:val="00A52886"/>
    <w:pPr>
      <w:jc w:val="right"/>
    </w:pPr>
    <w:rPr>
      <w:rFonts w:cs="Times New Roman"/>
    </w:rPr>
  </w:style>
  <w:style w:type="character" w:customStyle="1" w:styleId="afffff2">
    <w:name w:val="日期 字元"/>
    <w:link w:val="afffff1"/>
    <w:uiPriority w:val="99"/>
    <w:rsid w:val="00A52886"/>
    <w:rPr>
      <w:rFonts w:ascii="Calibri" w:eastAsia="新細明體" w:hAnsi="Calibri" w:cs="Times New Roman"/>
    </w:rPr>
  </w:style>
  <w:style w:type="paragraph" w:styleId="34">
    <w:name w:val="Body Text 3"/>
    <w:basedOn w:val="a3"/>
    <w:link w:val="35"/>
    <w:uiPriority w:val="99"/>
    <w:rsid w:val="00A52886"/>
    <w:pPr>
      <w:spacing w:after="120"/>
    </w:pPr>
    <w:rPr>
      <w:rFonts w:cs="Times New Roman"/>
      <w:sz w:val="16"/>
      <w:szCs w:val="16"/>
    </w:rPr>
  </w:style>
  <w:style w:type="character" w:customStyle="1" w:styleId="35">
    <w:name w:val="本文 3 字元"/>
    <w:link w:val="34"/>
    <w:uiPriority w:val="99"/>
    <w:rsid w:val="00A52886"/>
    <w:rPr>
      <w:rFonts w:ascii="Calibri" w:eastAsia="新細明體" w:hAnsi="Calibri" w:cs="Times New Roman"/>
      <w:sz w:val="16"/>
      <w:szCs w:val="16"/>
    </w:rPr>
  </w:style>
  <w:style w:type="paragraph" w:styleId="afffff3">
    <w:name w:val="Body Text First Indent"/>
    <w:basedOn w:val="ab"/>
    <w:link w:val="afffff4"/>
    <w:rsid w:val="00A52886"/>
    <w:pPr>
      <w:spacing w:after="120"/>
      <w:ind w:firstLineChars="100" w:firstLine="210"/>
    </w:pPr>
    <w:rPr>
      <w:rFonts w:ascii="Calibri" w:eastAsia="新細明體" w:hAnsi="Calibri"/>
      <w:sz w:val="24"/>
      <w:szCs w:val="22"/>
    </w:rPr>
  </w:style>
  <w:style w:type="character" w:customStyle="1" w:styleId="afffff4">
    <w:name w:val="本文第一層縮排 字元"/>
    <w:link w:val="afffff3"/>
    <w:rsid w:val="00A52886"/>
    <w:rPr>
      <w:rFonts w:ascii="Calibri" w:eastAsia="新細明體" w:hAnsi="Calibri" w:cs="Times New Roman"/>
    </w:rPr>
  </w:style>
  <w:style w:type="character" w:customStyle="1" w:styleId="13">
    <w:name w:val="本文 字元1"/>
    <w:link w:val="ab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paragraph" w:styleId="2c">
    <w:name w:val="Body Text First Indent 2"/>
    <w:basedOn w:val="a9"/>
    <w:link w:val="2d"/>
    <w:semiHidden/>
    <w:rsid w:val="00A52886"/>
    <w:pPr>
      <w:spacing w:after="120" w:line="240" w:lineRule="auto"/>
      <w:ind w:leftChars="200" w:left="480" w:firstLine="210"/>
    </w:pPr>
    <w:rPr>
      <w:rFonts w:ascii="Calibri" w:eastAsia="新細明體" w:hAnsi="Calibri"/>
      <w:sz w:val="24"/>
      <w:szCs w:val="22"/>
    </w:rPr>
  </w:style>
  <w:style w:type="character" w:customStyle="1" w:styleId="2d">
    <w:name w:val="本文第一層縮排 2 字元"/>
    <w:link w:val="2c"/>
    <w:semiHidden/>
    <w:rsid w:val="00A52886"/>
    <w:rPr>
      <w:rFonts w:ascii="Calibri" w:eastAsia="新細明體" w:hAnsi="Calibri" w:cs="Times New Roman"/>
      <w:sz w:val="32"/>
      <w:szCs w:val="24"/>
    </w:rPr>
  </w:style>
  <w:style w:type="paragraph" w:styleId="afffff5">
    <w:name w:val="envelope address"/>
    <w:basedOn w:val="a3"/>
    <w:semiHidden/>
    <w:rsid w:val="00A5288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character" w:styleId="afffff6">
    <w:name w:val="line number"/>
    <w:basedOn w:val="a4"/>
    <w:semiHidden/>
    <w:rsid w:val="00A52886"/>
  </w:style>
  <w:style w:type="table" w:styleId="3D1">
    <w:name w:val="Table 3D effects 1"/>
    <w:basedOn w:val="a5"/>
    <w:semiHidden/>
    <w:rsid w:val="00A52886"/>
    <w:pPr>
      <w:widowControl w:val="0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semiHidden/>
    <w:rsid w:val="00A52886"/>
    <w:pPr>
      <w:widowControl w:val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Classic 1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5"/>
    <w:semiHidden/>
    <w:rsid w:val="00A52886"/>
    <w:pPr>
      <w:widowControl w:val="0"/>
    </w:pPr>
    <w:rPr>
      <w:rFonts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Colorful 1"/>
    <w:basedOn w:val="a5"/>
    <w:semiHidden/>
    <w:rsid w:val="00A52886"/>
    <w:pPr>
      <w:widowControl w:val="0"/>
    </w:pPr>
    <w:rPr>
      <w:rFonts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7">
    <w:name w:val="Table Elegant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Grid 1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2">
    <w:name w:val="Table Grid 4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A52886"/>
    <w:pPr>
      <w:widowControl w:val="0"/>
    </w:pPr>
    <w:rPr>
      <w:rFonts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Subtle 1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Professional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1">
    <w:name w:val="Table List 1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5"/>
    <w:semiHidden/>
    <w:rsid w:val="00A52886"/>
    <w:pPr>
      <w:widowControl w:val="0"/>
    </w:pPr>
    <w:rPr>
      <w:rFonts w:cs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9">
    <w:name w:val="Table Contemporary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f2">
    <w:name w:val="Table Simple 1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semiHidden/>
    <w:rsid w:val="00A52886"/>
    <w:pPr>
      <w:widowControl w:val="0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Columns 1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5"/>
    <w:semiHidden/>
    <w:rsid w:val="00A52886"/>
    <w:pPr>
      <w:widowControl w:val="0"/>
    </w:pPr>
    <w:rPr>
      <w:rFonts w:cs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5"/>
    <w:semiHidden/>
    <w:rsid w:val="00A52886"/>
    <w:pPr>
      <w:widowControl w:val="0"/>
    </w:pPr>
    <w:rPr>
      <w:rFonts w:cs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Theme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Message Header"/>
    <w:basedOn w:val="a3"/>
    <w:link w:val="afffffc"/>
    <w:semiHidden/>
    <w:rsid w:val="00A5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fffc">
    <w:name w:val="訊息欄位名稱 字元"/>
    <w:link w:val="afffffb"/>
    <w:semiHidden/>
    <w:rsid w:val="00A52886"/>
    <w:rPr>
      <w:rFonts w:ascii="Arial" w:eastAsia="新細明體" w:hAnsi="Arial" w:cs="Arial"/>
      <w:szCs w:val="24"/>
      <w:shd w:val="pct20" w:color="auto" w:fill="auto"/>
    </w:rPr>
  </w:style>
  <w:style w:type="paragraph" w:styleId="afffffd">
    <w:name w:val="envelope return"/>
    <w:basedOn w:val="a3"/>
    <w:semiHidden/>
    <w:rsid w:val="00A52886"/>
    <w:pPr>
      <w:snapToGrid w:val="0"/>
    </w:pPr>
    <w:rPr>
      <w:rFonts w:ascii="Arial" w:hAnsi="Arial" w:cs="Arial"/>
    </w:rPr>
  </w:style>
  <w:style w:type="paragraph" w:styleId="afffffe">
    <w:name w:val="List Continue"/>
    <w:basedOn w:val="a3"/>
    <w:semiHidden/>
    <w:rsid w:val="00A52886"/>
    <w:pPr>
      <w:spacing w:after="120"/>
      <w:ind w:leftChars="200" w:left="480"/>
    </w:pPr>
    <w:rPr>
      <w:rFonts w:cs="Times New Roman"/>
    </w:rPr>
  </w:style>
  <w:style w:type="paragraph" w:styleId="2f5">
    <w:name w:val="List Continue 2"/>
    <w:basedOn w:val="a3"/>
    <w:semiHidden/>
    <w:rsid w:val="00A52886"/>
    <w:pPr>
      <w:spacing w:after="120"/>
      <w:ind w:leftChars="400" w:left="960"/>
    </w:pPr>
    <w:rPr>
      <w:rFonts w:cs="Times New Roman"/>
    </w:rPr>
  </w:style>
  <w:style w:type="paragraph" w:styleId="3c">
    <w:name w:val="List Continue 3"/>
    <w:basedOn w:val="a3"/>
    <w:semiHidden/>
    <w:rsid w:val="00A52886"/>
    <w:pPr>
      <w:spacing w:after="120"/>
      <w:ind w:leftChars="600" w:left="1440"/>
    </w:pPr>
    <w:rPr>
      <w:rFonts w:cs="Times New Roman"/>
    </w:rPr>
  </w:style>
  <w:style w:type="paragraph" w:styleId="45">
    <w:name w:val="List Continue 4"/>
    <w:basedOn w:val="a3"/>
    <w:semiHidden/>
    <w:rsid w:val="00A52886"/>
    <w:pPr>
      <w:spacing w:after="120"/>
      <w:ind w:leftChars="800" w:left="1920"/>
    </w:pPr>
    <w:rPr>
      <w:rFonts w:cs="Times New Roman"/>
    </w:rPr>
  </w:style>
  <w:style w:type="paragraph" w:styleId="54">
    <w:name w:val="List Continue 5"/>
    <w:basedOn w:val="a3"/>
    <w:semiHidden/>
    <w:rsid w:val="00A52886"/>
    <w:pPr>
      <w:spacing w:after="120"/>
      <w:ind w:leftChars="1000" w:left="2400"/>
    </w:pPr>
    <w:rPr>
      <w:rFonts w:cs="Times New Roman"/>
    </w:rPr>
  </w:style>
  <w:style w:type="paragraph" w:styleId="affffff">
    <w:name w:val="List"/>
    <w:basedOn w:val="a3"/>
    <w:semiHidden/>
    <w:rsid w:val="00A52886"/>
    <w:pPr>
      <w:ind w:leftChars="200" w:left="100" w:hangingChars="200" w:hanging="200"/>
    </w:pPr>
    <w:rPr>
      <w:rFonts w:cs="Times New Roman"/>
    </w:rPr>
  </w:style>
  <w:style w:type="paragraph" w:styleId="2f6">
    <w:name w:val="List 2"/>
    <w:basedOn w:val="a3"/>
    <w:semiHidden/>
    <w:rsid w:val="00A52886"/>
    <w:pPr>
      <w:ind w:leftChars="400" w:left="100" w:hangingChars="200" w:hanging="200"/>
    </w:pPr>
    <w:rPr>
      <w:rFonts w:cs="Times New Roman"/>
    </w:rPr>
  </w:style>
  <w:style w:type="paragraph" w:styleId="3d">
    <w:name w:val="List 3"/>
    <w:basedOn w:val="a3"/>
    <w:semiHidden/>
    <w:rsid w:val="00A52886"/>
    <w:pPr>
      <w:ind w:leftChars="600" w:left="100" w:hangingChars="200" w:hanging="200"/>
    </w:pPr>
    <w:rPr>
      <w:rFonts w:cs="Times New Roman"/>
    </w:rPr>
  </w:style>
  <w:style w:type="paragraph" w:styleId="46">
    <w:name w:val="List 4"/>
    <w:basedOn w:val="a3"/>
    <w:rsid w:val="00A52886"/>
    <w:pPr>
      <w:ind w:leftChars="800" w:left="100" w:hangingChars="200" w:hanging="200"/>
    </w:pPr>
    <w:rPr>
      <w:rFonts w:cs="Times New Roman"/>
    </w:rPr>
  </w:style>
  <w:style w:type="paragraph" w:styleId="55">
    <w:name w:val="List 5"/>
    <w:basedOn w:val="a3"/>
    <w:rsid w:val="00A52886"/>
    <w:pPr>
      <w:ind w:leftChars="1000" w:left="100" w:hangingChars="200" w:hanging="200"/>
    </w:pPr>
    <w:rPr>
      <w:rFonts w:cs="Times New Roman"/>
    </w:rPr>
  </w:style>
  <w:style w:type="paragraph" w:styleId="affffff0">
    <w:name w:val="List Number"/>
    <w:basedOn w:val="a3"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7">
    <w:name w:val="List Number 2"/>
    <w:basedOn w:val="a3"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e">
    <w:name w:val="List Number 3"/>
    <w:basedOn w:val="a3"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7">
    <w:name w:val="List Number 4"/>
    <w:basedOn w:val="a3"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6">
    <w:name w:val="List Number 5"/>
    <w:basedOn w:val="a3"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1">
    <w:name w:val="Note Heading"/>
    <w:basedOn w:val="a3"/>
    <w:next w:val="a3"/>
    <w:link w:val="affffff2"/>
    <w:semiHidden/>
    <w:rsid w:val="00A52886"/>
    <w:pPr>
      <w:jc w:val="center"/>
    </w:pPr>
    <w:rPr>
      <w:rFonts w:cs="Times New Roman"/>
    </w:rPr>
  </w:style>
  <w:style w:type="character" w:customStyle="1" w:styleId="affffff2">
    <w:name w:val="註釋標題 字元"/>
    <w:link w:val="affffff1"/>
    <w:semiHidden/>
    <w:rsid w:val="00A52886"/>
    <w:rPr>
      <w:rFonts w:ascii="Calibri" w:eastAsia="新細明體" w:hAnsi="Calibri" w:cs="Times New Roman"/>
    </w:rPr>
  </w:style>
  <w:style w:type="paragraph" w:styleId="affffff3">
    <w:name w:val="List Bullet"/>
    <w:basedOn w:val="a3"/>
    <w:autoRedefine/>
    <w:semiHidden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8">
    <w:name w:val="List Bullet 2"/>
    <w:basedOn w:val="a3"/>
    <w:autoRedefine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f">
    <w:name w:val="List Bullet 3"/>
    <w:basedOn w:val="a3"/>
    <w:autoRedefine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8">
    <w:name w:val="List Bullet 4"/>
    <w:basedOn w:val="a3"/>
    <w:autoRedefine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7">
    <w:name w:val="List Bullet 5"/>
    <w:basedOn w:val="a3"/>
    <w:autoRedefine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4">
    <w:name w:val="E-mail Signature"/>
    <w:basedOn w:val="a3"/>
    <w:link w:val="affffff5"/>
    <w:semiHidden/>
    <w:rsid w:val="00A52886"/>
    <w:rPr>
      <w:rFonts w:cs="Times New Roman"/>
    </w:rPr>
  </w:style>
  <w:style w:type="character" w:customStyle="1" w:styleId="affffff5">
    <w:name w:val="電子郵件簽名 字元"/>
    <w:link w:val="affffff4"/>
    <w:semiHidden/>
    <w:rsid w:val="00A52886"/>
    <w:rPr>
      <w:rFonts w:ascii="Calibri" w:eastAsia="新細明體" w:hAnsi="Calibri" w:cs="Times New Roman"/>
    </w:rPr>
  </w:style>
  <w:style w:type="paragraph" w:styleId="affffff6">
    <w:name w:val="Title"/>
    <w:basedOn w:val="a3"/>
    <w:link w:val="affffff7"/>
    <w:qFormat/>
    <w:rsid w:val="00A528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ff7">
    <w:name w:val="標題 字元"/>
    <w:link w:val="affffff6"/>
    <w:rsid w:val="00A52886"/>
    <w:rPr>
      <w:rFonts w:ascii="Arial" w:eastAsia="新細明體" w:hAnsi="Arial" w:cs="Arial"/>
      <w:b/>
      <w:bCs/>
      <w:sz w:val="32"/>
      <w:szCs w:val="32"/>
    </w:rPr>
  </w:style>
  <w:style w:type="paragraph" w:styleId="affffff8">
    <w:name w:val="Signature"/>
    <w:basedOn w:val="a3"/>
    <w:link w:val="affffff9"/>
    <w:semiHidden/>
    <w:rsid w:val="00A52886"/>
    <w:pPr>
      <w:ind w:leftChars="1800" w:left="100"/>
    </w:pPr>
    <w:rPr>
      <w:rFonts w:cs="Times New Roman"/>
    </w:rPr>
  </w:style>
  <w:style w:type="character" w:customStyle="1" w:styleId="affffff9">
    <w:name w:val="簽名 字元"/>
    <w:link w:val="affffff8"/>
    <w:semiHidden/>
    <w:rsid w:val="00A52886"/>
    <w:rPr>
      <w:rFonts w:ascii="Calibri" w:eastAsia="新細明體" w:hAnsi="Calibri" w:cs="Times New Roman"/>
    </w:rPr>
  </w:style>
  <w:style w:type="paragraph" w:customStyle="1" w:styleId="affffffa">
    <w:name w:val="柒、"/>
    <w:basedOn w:val="a3"/>
    <w:rsid w:val="00A52886"/>
    <w:pPr>
      <w:jc w:val="center"/>
    </w:pPr>
    <w:rPr>
      <w:rFonts w:ascii="標楷體" w:eastAsia="標楷體" w:hAnsi="標楷體" w:cs="Times New Roman"/>
      <w:b/>
      <w:spacing w:val="-2"/>
      <w:sz w:val="52"/>
      <w:szCs w:val="52"/>
    </w:rPr>
  </w:style>
  <w:style w:type="paragraph" w:customStyle="1" w:styleId="2f9">
    <w:name w:val="圓2"/>
    <w:basedOn w:val="aff0"/>
    <w:rsid w:val="00A52886"/>
    <w:pPr>
      <w:adjustRightInd w:val="0"/>
      <w:snapToGrid w:val="0"/>
      <w:spacing w:line="360" w:lineRule="exact"/>
      <w:ind w:leftChars="400" w:left="1240" w:hangingChars="100" w:hanging="280"/>
      <w:jc w:val="both"/>
    </w:pPr>
    <w:rPr>
      <w:rFonts w:ascii="Times New Roman" w:eastAsia="標楷體" w:hAnsi="標楷體"/>
      <w:color w:val="000000"/>
      <w:spacing w:val="-2"/>
      <w:kern w:val="0"/>
      <w:sz w:val="28"/>
      <w:szCs w:val="28"/>
    </w:rPr>
  </w:style>
  <w:style w:type="paragraph" w:customStyle="1" w:styleId="affffffb">
    <w:name w:val="(十一)"/>
    <w:basedOn w:val="affff"/>
    <w:rsid w:val="00A52886"/>
    <w:pPr>
      <w:ind w:left="691" w:hangingChars="250" w:hanging="691"/>
    </w:pPr>
    <w:rPr>
      <w:rFonts w:ascii="Calibri"/>
    </w:rPr>
  </w:style>
  <w:style w:type="paragraph" w:customStyle="1" w:styleId="affffffc">
    <w:name w:val="(十一)內文"/>
    <w:basedOn w:val="affff1"/>
    <w:rsid w:val="00A52886"/>
    <w:pPr>
      <w:ind w:leftChars="300" w:left="720"/>
    </w:pPr>
    <w:rPr>
      <w:rFonts w:ascii="細明體" w:hAnsi="Courier New"/>
    </w:rPr>
  </w:style>
  <w:style w:type="paragraph" w:customStyle="1" w:styleId="1ff4">
    <w:name w:val="(十一)1."/>
    <w:basedOn w:val="affffffc"/>
    <w:rsid w:val="00A52886"/>
    <w:pPr>
      <w:ind w:left="996" w:hangingChars="100" w:hanging="276"/>
    </w:pPr>
  </w:style>
  <w:style w:type="paragraph" w:customStyle="1" w:styleId="1ff5">
    <w:name w:val="(十一)(1)"/>
    <w:basedOn w:val="27"/>
    <w:rsid w:val="00A52886"/>
    <w:pPr>
      <w:ind w:leftChars="400" w:left="1319" w:hangingChars="100" w:hanging="276"/>
    </w:pPr>
    <w:rPr>
      <w:rFonts w:ascii="細明體" w:hAnsi="Courier New"/>
      <w:kern w:val="2"/>
    </w:rPr>
  </w:style>
  <w:style w:type="paragraph" w:customStyle="1" w:styleId="103">
    <w:name w:val="10.內文"/>
    <w:basedOn w:val="102"/>
    <w:rsid w:val="00A52886"/>
    <w:pPr>
      <w:ind w:leftChars="350" w:left="840" w:firstLineChars="0" w:firstLine="0"/>
    </w:pPr>
    <w:rPr>
      <w:rFonts w:ascii="細明體" w:hAnsi="Courier New" w:cs="TT21Eo00"/>
      <w:kern w:val="0"/>
    </w:rPr>
  </w:style>
  <w:style w:type="character" w:customStyle="1" w:styleId="affffffd">
    <w:name w:val="字元 字元 字元 字元 字元 字元 字元 字元 字元 字元 字元"/>
    <w:semiHidden/>
    <w:rsid w:val="00A52886"/>
    <w:rPr>
      <w:rFonts w:ascii="Tahoma" w:eastAsia="新細明體" w:hAnsi="Tahoma"/>
      <w:lang w:val="en-US" w:eastAsia="en-US" w:bidi="ar-SA"/>
    </w:rPr>
  </w:style>
  <w:style w:type="paragraph" w:customStyle="1" w:styleId="affffffe">
    <w:name w:val="表左"/>
    <w:basedOn w:val="a3"/>
    <w:rsid w:val="00A52886"/>
    <w:pPr>
      <w:spacing w:line="283" w:lineRule="atLeast"/>
      <w:ind w:left="57" w:right="57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style81">
    <w:name w:val="style81"/>
    <w:rsid w:val="00A52886"/>
    <w:rPr>
      <w:color w:val="000000"/>
    </w:rPr>
  </w:style>
  <w:style w:type="paragraph" w:customStyle="1" w:styleId="1ff6">
    <w:name w:val="內文1"/>
    <w:rsid w:val="00A52886"/>
    <w:rPr>
      <w:rFonts w:ascii="Helvetica" w:eastAsia="ヒラギノ角ゴ Pro W3" w:hAnsi="Helvetica" w:cs="Times New Roman"/>
      <w:color w:val="000000"/>
      <w:sz w:val="24"/>
    </w:rPr>
  </w:style>
  <w:style w:type="paragraph" w:customStyle="1" w:styleId="a0">
    <w:name w:val="研考報告標題一、"/>
    <w:basedOn w:val="a3"/>
    <w:rsid w:val="00A52886"/>
    <w:pPr>
      <w:numPr>
        <w:numId w:val="4"/>
      </w:numPr>
      <w:snapToGrid w:val="0"/>
      <w:spacing w:beforeLines="30" w:afterLines="30"/>
      <w:outlineLvl w:val="0"/>
    </w:pPr>
    <w:rPr>
      <w:rFonts w:ascii="標楷體" w:eastAsia="標楷體" w:hAnsi="Times New Roman" w:cs="Times New Roman"/>
      <w:sz w:val="28"/>
      <w:szCs w:val="28"/>
    </w:rPr>
  </w:style>
  <w:style w:type="paragraph" w:customStyle="1" w:styleId="a1">
    <w:name w:val="研考報告標題（一）"/>
    <w:basedOn w:val="a3"/>
    <w:rsid w:val="00A52886"/>
    <w:pPr>
      <w:numPr>
        <w:numId w:val="5"/>
      </w:numPr>
      <w:snapToGrid w:val="0"/>
      <w:spacing w:beforeLines="30" w:afterLines="30"/>
      <w:outlineLvl w:val="1"/>
    </w:pPr>
    <w:rPr>
      <w:rFonts w:ascii="標楷體" w:eastAsia="標楷體" w:hAnsi="Times New Roman" w:cs="Times New Roman"/>
      <w:sz w:val="28"/>
      <w:szCs w:val="28"/>
    </w:rPr>
  </w:style>
  <w:style w:type="paragraph" w:customStyle="1" w:styleId="10">
    <w:name w:val="研考報告標題1."/>
    <w:basedOn w:val="a3"/>
    <w:rsid w:val="00A52886"/>
    <w:pPr>
      <w:numPr>
        <w:numId w:val="6"/>
      </w:numPr>
      <w:snapToGrid w:val="0"/>
      <w:spacing w:beforeLines="30" w:afterLines="30"/>
      <w:outlineLvl w:val="2"/>
    </w:pPr>
    <w:rPr>
      <w:rFonts w:ascii="標楷體" w:eastAsia="標楷體" w:hAnsi="Times New Roman" w:cs="Times New Roman"/>
      <w:sz w:val="28"/>
      <w:szCs w:val="28"/>
    </w:rPr>
  </w:style>
  <w:style w:type="paragraph" w:customStyle="1" w:styleId="afffffff">
    <w:name w:val="研考報告內文一、"/>
    <w:basedOn w:val="a3"/>
    <w:autoRedefine/>
    <w:rsid w:val="00A52886"/>
    <w:pPr>
      <w:snapToGrid w:val="0"/>
      <w:spacing w:line="360" w:lineRule="exact"/>
      <w:ind w:leftChars="235" w:left="564" w:firstLine="1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afffffff0">
    <w:name w:val="研考報告內文（一）"/>
    <w:basedOn w:val="a3"/>
    <w:rsid w:val="00A52886"/>
    <w:pPr>
      <w:snapToGrid w:val="0"/>
      <w:spacing w:beforeLines="30" w:afterLines="30"/>
      <w:ind w:leftChars="321" w:left="899"/>
    </w:pPr>
    <w:rPr>
      <w:rFonts w:ascii="標楷體" w:eastAsia="標楷體" w:hAnsi="Times New Roman" w:cs="Times New Roman"/>
      <w:sz w:val="28"/>
      <w:szCs w:val="28"/>
    </w:rPr>
  </w:style>
  <w:style w:type="paragraph" w:customStyle="1" w:styleId="1">
    <w:name w:val="研考報告標題(1)"/>
    <w:basedOn w:val="a3"/>
    <w:rsid w:val="00A52886"/>
    <w:pPr>
      <w:numPr>
        <w:numId w:val="7"/>
      </w:numPr>
      <w:snapToGrid w:val="0"/>
      <w:spacing w:beforeLines="30" w:afterLines="30"/>
      <w:outlineLvl w:val="3"/>
    </w:pPr>
    <w:rPr>
      <w:rFonts w:ascii="標楷體" w:eastAsia="標楷體" w:hAnsi="Times New Roman" w:cs="Times New Roman"/>
      <w:sz w:val="28"/>
      <w:szCs w:val="28"/>
    </w:rPr>
  </w:style>
  <w:style w:type="paragraph" w:customStyle="1" w:styleId="1ff7">
    <w:name w:val="研考報告內文1."/>
    <w:basedOn w:val="a3"/>
    <w:rsid w:val="00A52886"/>
    <w:pPr>
      <w:snapToGrid w:val="0"/>
      <w:spacing w:beforeLines="30" w:afterLines="30"/>
      <w:ind w:leftChars="430" w:left="120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8">
    <w:name w:val="研考報告標題○1"/>
    <w:basedOn w:val="a3"/>
    <w:rsid w:val="00A52886"/>
    <w:pPr>
      <w:snapToGrid w:val="0"/>
      <w:spacing w:beforeLines="30" w:afterLines="30"/>
      <w:ind w:leftChars="500" w:left="1694" w:hangingChars="105" w:hanging="294"/>
      <w:outlineLvl w:val="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9">
    <w:name w:val="研考報告內文(1)"/>
    <w:basedOn w:val="1ff7"/>
    <w:rsid w:val="00A52886"/>
    <w:pPr>
      <w:ind w:leftChars="530" w:left="1484"/>
    </w:pPr>
  </w:style>
  <w:style w:type="paragraph" w:customStyle="1" w:styleId="temp1">
    <w:name w:val="temp1"/>
    <w:basedOn w:val="1ff7"/>
    <w:rsid w:val="00A52886"/>
    <w:pPr>
      <w:spacing w:line="378" w:lineRule="exact"/>
      <w:ind w:leftChars="450" w:left="1260"/>
      <w:jc w:val="both"/>
    </w:pPr>
    <w:rPr>
      <w:rFonts w:cs="新細明體"/>
      <w:szCs w:val="20"/>
    </w:rPr>
  </w:style>
  <w:style w:type="paragraph" w:customStyle="1" w:styleId="afffffff1">
    <w:name w:val="國字一之十一"/>
    <w:basedOn w:val="a3"/>
    <w:rsid w:val="00A52886"/>
    <w:pPr>
      <w:ind w:left="1080" w:hangingChars="270" w:hanging="1080"/>
    </w:pPr>
    <w:rPr>
      <w:rFonts w:ascii="Times New Roman" w:eastAsia="標楷體" w:hAnsi="新細明體" w:cs="Times New Roman"/>
      <w:sz w:val="40"/>
      <w:szCs w:val="24"/>
    </w:rPr>
  </w:style>
  <w:style w:type="paragraph" w:customStyle="1" w:styleId="b">
    <w:name w:val="b."/>
    <w:basedOn w:val="1ff8"/>
    <w:rsid w:val="00A52886"/>
    <w:pPr>
      <w:spacing w:beforeLines="0" w:afterLines="0" w:line="360" w:lineRule="exact"/>
      <w:ind w:leftChars="400" w:left="1236" w:hangingChars="100" w:hanging="276"/>
      <w:jc w:val="both"/>
    </w:pPr>
    <w:rPr>
      <w:rFonts w:hAnsi="標楷體"/>
      <w:color w:val="000000"/>
      <w:spacing w:val="-2"/>
    </w:rPr>
  </w:style>
  <w:style w:type="paragraph" w:customStyle="1" w:styleId="3f0">
    <w:name w:val="(3)內"/>
    <w:basedOn w:val="29"/>
    <w:rsid w:val="00A52886"/>
    <w:pPr>
      <w:ind w:leftChars="392" w:left="941"/>
    </w:pPr>
    <w:rPr>
      <w:rFonts w:ascii="細明體" w:hAnsi="Courier New"/>
    </w:rPr>
  </w:style>
  <w:style w:type="paragraph" w:customStyle="1" w:styleId="c">
    <w:name w:val="c."/>
    <w:basedOn w:val="a3"/>
    <w:rsid w:val="00A52886"/>
    <w:pPr>
      <w:snapToGrid w:val="0"/>
      <w:spacing w:line="360" w:lineRule="exact"/>
      <w:ind w:leftChars="500" w:left="1476" w:hangingChars="100" w:hanging="276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paragraph" w:customStyle="1" w:styleId="f">
    <w:name w:val="(f)"/>
    <w:basedOn w:val="a3"/>
    <w:rsid w:val="00A52886"/>
    <w:pPr>
      <w:snapToGrid w:val="0"/>
      <w:spacing w:line="360" w:lineRule="exact"/>
      <w:ind w:leftChars="600" w:left="1854" w:hangingChars="150" w:hanging="414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character" w:customStyle="1" w:styleId="28">
    <w:name w:val="(2) 字元"/>
    <w:link w:val="27"/>
    <w:rsid w:val="00A52886"/>
    <w:rPr>
      <w:rFonts w:ascii="Times New Roman" w:eastAsia="標楷體" w:hAnsi="Times New Roman" w:cs="Times New Roman"/>
      <w:spacing w:val="-2"/>
      <w:kern w:val="0"/>
      <w:sz w:val="28"/>
      <w:szCs w:val="28"/>
    </w:rPr>
  </w:style>
  <w:style w:type="character" w:customStyle="1" w:styleId="affff0">
    <w:name w:val="(二) 字元"/>
    <w:link w:val="affff"/>
    <w:rsid w:val="00A52886"/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1000">
    <w:name w:val="100"/>
    <w:basedOn w:val="a3"/>
    <w:rsid w:val="00A52886"/>
    <w:pPr>
      <w:widowControl/>
      <w:snapToGrid w:val="0"/>
      <w:spacing w:line="360" w:lineRule="atLeast"/>
      <w:ind w:leftChars="350" w:left="350"/>
      <w:jc w:val="both"/>
    </w:pPr>
    <w:rPr>
      <w:rFonts w:ascii="標楷體" w:eastAsia="標楷體" w:hAnsi="標楷體" w:cs="新細明體"/>
      <w:spacing w:val="-2"/>
      <w:kern w:val="0"/>
      <w:sz w:val="28"/>
      <w:szCs w:val="28"/>
    </w:rPr>
  </w:style>
  <w:style w:type="paragraph" w:customStyle="1" w:styleId="a01">
    <w:name w:val="a0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2">
    <w:name w:val="a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941029147msonormal">
    <w:name w:val="yiv1941029147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02-A">
    <w:name w:val="002-A."/>
    <w:basedOn w:val="a3"/>
    <w:rsid w:val="00A52886"/>
    <w:pPr>
      <w:snapToGrid w:val="0"/>
      <w:spacing w:line="320" w:lineRule="atLeast"/>
      <w:ind w:leftChars="443" w:left="555" w:rightChars="50" w:right="50" w:hangingChars="112" w:hanging="112"/>
      <w:jc w:val="both"/>
    </w:pPr>
    <w:rPr>
      <w:rFonts w:ascii="標楷體" w:eastAsia="標楷體" w:hAnsi="標楷體" w:cs="Times New Roman"/>
      <w:szCs w:val="24"/>
    </w:rPr>
  </w:style>
  <w:style w:type="paragraph" w:customStyle="1" w:styleId="002-1">
    <w:name w:val="002-(1)"/>
    <w:basedOn w:val="a3"/>
    <w:link w:val="002-10"/>
    <w:rsid w:val="00A52886"/>
    <w:pPr>
      <w:snapToGrid w:val="0"/>
      <w:spacing w:line="320" w:lineRule="exact"/>
      <w:ind w:leftChars="150" w:left="300" w:rightChars="50" w:right="50" w:hangingChars="150" w:hanging="150"/>
      <w:jc w:val="both"/>
    </w:pPr>
    <w:rPr>
      <w:rFonts w:ascii="標楷體" w:eastAsia="標楷體" w:hAnsi="標楷體" w:cs="Times New Roman"/>
      <w:color w:val="000000"/>
      <w:szCs w:val="28"/>
    </w:rPr>
  </w:style>
  <w:style w:type="character" w:customStyle="1" w:styleId="002-10">
    <w:name w:val="002-(1) 字元"/>
    <w:link w:val="002-1"/>
    <w:rsid w:val="00A52886"/>
    <w:rPr>
      <w:rFonts w:ascii="標楷體" w:eastAsia="標楷體" w:hAnsi="標楷體" w:cs="Times New Roman"/>
      <w:color w:val="000000"/>
      <w:szCs w:val="28"/>
    </w:rPr>
  </w:style>
  <w:style w:type="paragraph" w:customStyle="1" w:styleId="002-11">
    <w:name w:val="002-1."/>
    <w:basedOn w:val="a3"/>
    <w:rsid w:val="00A52886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 w:cs="Times New Roman"/>
      <w:color w:val="000000"/>
      <w:szCs w:val="28"/>
    </w:rPr>
  </w:style>
  <w:style w:type="paragraph" w:customStyle="1" w:styleId="1ffa">
    <w:name w:val="(一)1全部標題"/>
    <w:basedOn w:val="a3"/>
    <w:rsid w:val="00A52886"/>
    <w:pPr>
      <w:snapToGrid w:val="0"/>
      <w:ind w:leftChars="190" w:left="1237" w:hangingChars="300" w:hanging="781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002-100">
    <w:name w:val="002-10."/>
    <w:basedOn w:val="002-11"/>
    <w:rsid w:val="00A52886"/>
    <w:pPr>
      <w:ind w:left="200" w:right="50" w:hangingChars="150" w:hanging="150"/>
    </w:pPr>
    <w:rPr>
      <w:rFonts w:cs="標楷體"/>
      <w:szCs w:val="24"/>
    </w:rPr>
  </w:style>
  <w:style w:type="paragraph" w:customStyle="1" w:styleId="3f1">
    <w:name w:val="身權3"/>
    <w:basedOn w:val="17"/>
    <w:rsid w:val="00A52886"/>
    <w:pPr>
      <w:tabs>
        <w:tab w:val="num" w:pos="0"/>
      </w:tabs>
      <w:spacing w:line="400" w:lineRule="exact"/>
      <w:ind w:leftChars="708" w:left="1982" w:hangingChars="101" w:hanging="283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49">
    <w:name w:val="身權4"/>
    <w:basedOn w:val="a3"/>
    <w:rsid w:val="00A52886"/>
    <w:pPr>
      <w:spacing w:line="400" w:lineRule="exact"/>
      <w:ind w:leftChars="828" w:left="2410" w:hangingChars="151" w:hanging="423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2fa">
    <w:name w:val="社團有約2"/>
    <w:basedOn w:val="a3"/>
    <w:rsid w:val="00A52886"/>
    <w:pPr>
      <w:widowControl/>
      <w:adjustRightInd w:val="0"/>
      <w:snapToGrid w:val="0"/>
      <w:spacing w:line="480" w:lineRule="exact"/>
      <w:ind w:firstLineChars="607" w:firstLine="1700"/>
      <w:jc w:val="both"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paragraph" w:customStyle="1" w:styleId="a02">
    <w:name w:val="a0內"/>
    <w:basedOn w:val="a3"/>
    <w:link w:val="a03"/>
    <w:rsid w:val="00A52886"/>
    <w:pPr>
      <w:snapToGrid w:val="0"/>
      <w:ind w:leftChars="1049" w:left="2521" w:hanging="3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a03">
    <w:name w:val="a0內 字元"/>
    <w:link w:val="a02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afffffff3">
    <w:name w:val="(一)內容"/>
    <w:basedOn w:val="afffa"/>
    <w:rsid w:val="00A52886"/>
    <w:pPr>
      <w:suppressAutoHyphens w:val="0"/>
      <w:autoSpaceDN/>
      <w:snapToGrid/>
      <w:spacing w:line="320" w:lineRule="exact"/>
      <w:ind w:leftChars="405" w:left="455" w:hangingChars="50" w:hanging="50"/>
      <w:textAlignment w:val="auto"/>
      <w:outlineLvl w:val="9"/>
    </w:pPr>
    <w:rPr>
      <w:rFonts w:hAnsi="Times New Roman" w:cs="標楷體"/>
      <w:b w:val="0"/>
      <w:color w:val="auto"/>
      <w:kern w:val="2"/>
      <w:sz w:val="28"/>
      <w:szCs w:val="28"/>
      <w:shd w:val="clear" w:color="auto" w:fill="FFFFFF"/>
    </w:rPr>
  </w:style>
  <w:style w:type="paragraph" w:customStyle="1" w:styleId="1ffb">
    <w:name w:val="1標題"/>
    <w:basedOn w:val="002-11"/>
    <w:rsid w:val="00A52886"/>
    <w:pPr>
      <w:ind w:leftChars="300" w:left="351" w:rightChars="18" w:right="18" w:firstLineChars="0" w:hanging="51"/>
    </w:pPr>
    <w:rPr>
      <w:rFonts w:cs="標楷體"/>
      <w:color w:val="auto"/>
      <w:sz w:val="28"/>
      <w:shd w:val="clear" w:color="auto" w:fill="FFFFFF"/>
    </w:rPr>
  </w:style>
  <w:style w:type="paragraph" w:customStyle="1" w:styleId="afffffff4">
    <w:name w:val="施政報告(一)標題"/>
    <w:basedOn w:val="a3"/>
    <w:link w:val="afffffff5"/>
    <w:rsid w:val="00A52886"/>
    <w:pPr>
      <w:spacing w:line="320" w:lineRule="exact"/>
      <w:ind w:leftChars="100" w:left="100"/>
      <w:jc w:val="both"/>
    </w:pPr>
    <w:rPr>
      <w:rFonts w:ascii="標楷體" w:eastAsia="標楷體" w:hAnsi="Times New Roman" w:cs="標楷體"/>
      <w:sz w:val="28"/>
      <w:szCs w:val="28"/>
    </w:rPr>
  </w:style>
  <w:style w:type="paragraph" w:customStyle="1" w:styleId="afffffff6">
    <w:name w:val="施政報告(一)內文"/>
    <w:basedOn w:val="afffffff4"/>
    <w:link w:val="afffffff7"/>
    <w:rsid w:val="00A52886"/>
    <w:pPr>
      <w:ind w:leftChars="405" w:left="405"/>
    </w:pPr>
  </w:style>
  <w:style w:type="character" w:customStyle="1" w:styleId="afffffff5">
    <w:name w:val="施政報告(一)標題 字元"/>
    <w:link w:val="afffffff4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c">
    <w:name w:val="施政報告1標題"/>
    <w:basedOn w:val="afffffff4"/>
    <w:link w:val="1ffd"/>
    <w:rsid w:val="00A52886"/>
    <w:pPr>
      <w:ind w:leftChars="300" w:left="351" w:rightChars="18" w:right="18" w:hanging="51"/>
    </w:pPr>
  </w:style>
  <w:style w:type="character" w:customStyle="1" w:styleId="afffffff7">
    <w:name w:val="施政報告(一)內文 字元"/>
    <w:link w:val="afffffff6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e">
    <w:name w:val="施政報告(1)標題"/>
    <w:basedOn w:val="a3"/>
    <w:link w:val="1fff"/>
    <w:rsid w:val="00A52886"/>
    <w:pPr>
      <w:spacing w:line="320" w:lineRule="exact"/>
      <w:ind w:leftChars="383" w:left="383" w:rightChars="18" w:right="18"/>
    </w:pPr>
    <w:rPr>
      <w:rFonts w:ascii="標楷體" w:eastAsia="標楷體" w:hAnsi="Times New Roman" w:cs="標楷體"/>
      <w:sz w:val="28"/>
      <w:szCs w:val="28"/>
    </w:rPr>
  </w:style>
  <w:style w:type="character" w:customStyle="1" w:styleId="1ffd">
    <w:name w:val="施政報告1標題 字元"/>
    <w:link w:val="1ffc"/>
    <w:rsid w:val="00A52886"/>
    <w:rPr>
      <w:rFonts w:ascii="標楷體" w:eastAsia="標楷體" w:hAnsi="Times New Roman" w:cs="標楷體"/>
      <w:sz w:val="28"/>
      <w:szCs w:val="28"/>
    </w:rPr>
  </w:style>
  <w:style w:type="character" w:customStyle="1" w:styleId="1fff">
    <w:name w:val="施政報告(1)標題 字元"/>
    <w:link w:val="1ffe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05-2-4">
    <w:name w:val="105-2-4"/>
    <w:basedOn w:val="a3"/>
    <w:rsid w:val="00A52886"/>
    <w:pPr>
      <w:widowControl/>
      <w:adjustRightInd w:val="0"/>
      <w:snapToGrid w:val="0"/>
      <w:spacing w:line="480" w:lineRule="exact"/>
      <w:ind w:leftChars="827" w:left="2691" w:hangingChars="252" w:hanging="706"/>
      <w:jc w:val="both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afffffff8">
    <w:name w:val="表左一、"/>
    <w:basedOn w:val="a3"/>
    <w:uiPriority w:val="99"/>
    <w:rsid w:val="00A52886"/>
    <w:pPr>
      <w:kinsoku w:val="0"/>
      <w:spacing w:line="283" w:lineRule="exact"/>
      <w:ind w:leftChars="115" w:left="241" w:rightChars="10" w:right="21"/>
      <w:jc w:val="both"/>
    </w:pPr>
    <w:rPr>
      <w:rFonts w:ascii="Times New Roman" w:hAnsi="Times New Roman" w:cs="Times New Roman"/>
      <w:sz w:val="21"/>
      <w:szCs w:val="24"/>
    </w:rPr>
  </w:style>
  <w:style w:type="paragraph" w:customStyle="1" w:styleId="-0">
    <w:name w:val="研考會-內文"/>
    <w:autoRedefine/>
    <w:rsid w:val="00A52886"/>
    <w:pPr>
      <w:widowControl w:val="0"/>
      <w:tabs>
        <w:tab w:val="left" w:pos="-4860"/>
        <w:tab w:val="left" w:pos="745"/>
        <w:tab w:val="left" w:pos="1980"/>
      </w:tabs>
      <w:adjustRightInd w:val="0"/>
      <w:snapToGrid w:val="0"/>
      <w:ind w:leftChars="750" w:left="1800" w:right="24" w:firstLineChars="169" w:firstLine="534"/>
      <w:jc w:val="both"/>
    </w:pPr>
    <w:rPr>
      <w:rFonts w:ascii="標楷體" w:eastAsia="標楷體" w:hAnsi="標楷體" w:cs="Times New Roman"/>
      <w:color w:val="FF0000"/>
      <w:spacing w:val="-2"/>
      <w:sz w:val="32"/>
      <w:szCs w:val="32"/>
      <w:lang w:val="zh-TW"/>
    </w:rPr>
  </w:style>
  <w:style w:type="paragraph" w:customStyle="1" w:styleId="ecmsonormal">
    <w:name w:val="ec_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9">
    <w:name w:val="_文章內文"/>
    <w:rsid w:val="00A52886"/>
    <w:pPr>
      <w:adjustRightInd w:val="0"/>
      <w:snapToGrid w:val="0"/>
      <w:spacing w:line="240" w:lineRule="atLeast"/>
      <w:ind w:left="360" w:hangingChars="150" w:hanging="360"/>
      <w:jc w:val="both"/>
    </w:pPr>
    <w:rPr>
      <w:rFonts w:ascii="Times New Roman" w:eastAsia="標楷體" w:hAnsi="Times New Roman" w:cs="Times New Roman"/>
      <w:sz w:val="24"/>
    </w:rPr>
  </w:style>
  <w:style w:type="paragraph" w:customStyle="1" w:styleId="PlainText2">
    <w:name w:val="Plain Text2"/>
    <w:basedOn w:val="a3"/>
    <w:rsid w:val="00A5288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ffffa">
    <w:name w:val="大寫壹"/>
    <w:basedOn w:val="a3"/>
    <w:rsid w:val="00A52886"/>
    <w:rPr>
      <w:rFonts w:ascii="Times New Roman" w:eastAsia="標楷體" w:hAnsi="Times New Roman" w:cs="Times New Roman"/>
      <w:bCs/>
      <w:sz w:val="40"/>
      <w:szCs w:val="24"/>
    </w:rPr>
  </w:style>
  <w:style w:type="paragraph" w:customStyle="1" w:styleId="afffffffb">
    <w:name w:val="最後排序"/>
    <w:basedOn w:val="a3"/>
    <w:rsid w:val="00A52886"/>
    <w:pPr>
      <w:snapToGrid w:val="0"/>
      <w:ind w:leftChars="402" w:left="1259" w:hangingChars="92" w:hanging="294"/>
      <w:jc w:val="both"/>
    </w:pPr>
    <w:rPr>
      <w:rFonts w:ascii="標楷體" w:eastAsia="標楷體" w:hAnsi="標楷體" w:cs="Times New Roman"/>
      <w:color w:val="FF0000"/>
      <w:sz w:val="32"/>
      <w:szCs w:val="32"/>
    </w:rPr>
  </w:style>
  <w:style w:type="paragraph" w:customStyle="1" w:styleId="cjk">
    <w:name w:val="cjk"/>
    <w:basedOn w:val="a3"/>
    <w:rsid w:val="00A52886"/>
    <w:pPr>
      <w:widowControl/>
      <w:spacing w:before="100" w:beforeAutospacing="1" w:line="544" w:lineRule="atLeast"/>
      <w:jc w:val="both"/>
    </w:pPr>
    <w:rPr>
      <w:rFonts w:ascii="標楷體" w:eastAsia="標楷體" w:hAnsi="標楷體" w:cs="新細明體"/>
      <w:kern w:val="0"/>
      <w:sz w:val="32"/>
      <w:szCs w:val="32"/>
    </w:rPr>
  </w:style>
  <w:style w:type="character" w:customStyle="1" w:styleId="WW-">
    <w:name w:val="WW-預設段落字型"/>
    <w:rsid w:val="00A52886"/>
  </w:style>
  <w:style w:type="paragraph" w:customStyle="1" w:styleId="Textbody">
    <w:name w:val="Text body"/>
    <w:rsid w:val="00A52886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標楷體"/>
      <w:spacing w:val="-2"/>
      <w:kern w:val="3"/>
      <w:sz w:val="28"/>
      <w:szCs w:val="28"/>
    </w:rPr>
  </w:style>
  <w:style w:type="paragraph" w:customStyle="1" w:styleId="afffffffc">
    <w:name w:val="標(一)"/>
    <w:basedOn w:val="Textbody"/>
    <w:rsid w:val="00A52886"/>
    <w:rPr>
      <w:b/>
      <w:bCs/>
    </w:rPr>
  </w:style>
  <w:style w:type="paragraph" w:customStyle="1" w:styleId="afffffffd">
    <w:name w:val="標(一)內文"/>
    <w:basedOn w:val="a3"/>
    <w:rsid w:val="00A52886"/>
    <w:pPr>
      <w:widowControl/>
      <w:spacing w:line="360" w:lineRule="exact"/>
      <w:ind w:leftChars="200" w:left="560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paragraph" w:customStyle="1" w:styleId="afffffffe">
    <w:name w:val="說明(一)"/>
    <w:basedOn w:val="a3"/>
    <w:link w:val="affffffff"/>
    <w:rsid w:val="00A52886"/>
    <w:pPr>
      <w:spacing w:line="420" w:lineRule="exact"/>
      <w:ind w:leftChars="200" w:left="500" w:hangingChars="300" w:hanging="30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affffffff">
    <w:name w:val="說明(一) 字元 字元"/>
    <w:link w:val="afffffffe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Standard">
    <w:name w:val="Standard"/>
    <w:rsid w:val="00A5288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 w:val="28"/>
    </w:rPr>
  </w:style>
  <w:style w:type="character" w:customStyle="1" w:styleId="fc1afb446a-d5d9-4015-a968-53794ad9ab9c-1">
    <w:name w:val="fc1afb446a-d5d9-4015-a968-53794ad9ab9c-1"/>
    <w:rsid w:val="00A52886"/>
  </w:style>
  <w:style w:type="character" w:customStyle="1" w:styleId="WW-1">
    <w:name w:val="WW-預設段落字型1"/>
    <w:rsid w:val="00A52886"/>
  </w:style>
  <w:style w:type="numbering" w:customStyle="1" w:styleId="WWNum12">
    <w:name w:val="WWNum12"/>
    <w:basedOn w:val="a6"/>
    <w:rsid w:val="00A52886"/>
    <w:pPr>
      <w:numPr>
        <w:numId w:val="8"/>
      </w:numPr>
    </w:pPr>
  </w:style>
  <w:style w:type="paragraph" w:customStyle="1" w:styleId="1fff0">
    <w:name w:val="標1"/>
    <w:basedOn w:val="a3"/>
    <w:link w:val="1fff1"/>
    <w:rsid w:val="00A52886"/>
    <w:pPr>
      <w:widowControl/>
      <w:spacing w:line="360" w:lineRule="exact"/>
      <w:ind w:left="839" w:hanging="278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character" w:customStyle="1" w:styleId="1fff1">
    <w:name w:val="標1 字元"/>
    <w:link w:val="1fff0"/>
    <w:rsid w:val="00A52886"/>
    <w:rPr>
      <w:rFonts w:ascii="Times New Roman" w:eastAsia="新細明體" w:hAnsi="標楷體" w:cs="Times New Roman"/>
      <w:spacing w:val="-2"/>
      <w:kern w:val="0"/>
      <w:sz w:val="20"/>
      <w:szCs w:val="28"/>
    </w:rPr>
  </w:style>
  <w:style w:type="numbering" w:customStyle="1" w:styleId="WWOutlineListStyle">
    <w:name w:val="WW_OutlineListStyle"/>
    <w:basedOn w:val="a6"/>
    <w:rsid w:val="00A52886"/>
    <w:pPr>
      <w:numPr>
        <w:numId w:val="9"/>
      </w:numPr>
    </w:pPr>
  </w:style>
  <w:style w:type="paragraph" w:styleId="a">
    <w:name w:val="No Spacing"/>
    <w:basedOn w:val="a3"/>
    <w:qFormat/>
    <w:rsid w:val="00A52886"/>
    <w:pPr>
      <w:numPr>
        <w:numId w:val="10"/>
      </w:numPr>
      <w:tabs>
        <w:tab w:val="left" w:pos="808"/>
      </w:tabs>
      <w:suppressAutoHyphens/>
      <w:autoSpaceDN w:val="0"/>
      <w:snapToGrid w:val="0"/>
      <w:spacing w:line="300" w:lineRule="exact"/>
      <w:jc w:val="both"/>
      <w:textAlignment w:val="baseline"/>
    </w:pPr>
    <w:rPr>
      <w:rFonts w:ascii="標楷體" w:eastAsia="標楷體" w:hAnsi="標楷體" w:cs="Times New Roman"/>
      <w:kern w:val="3"/>
      <w:sz w:val="28"/>
      <w:szCs w:val="20"/>
    </w:rPr>
  </w:style>
  <w:style w:type="numbering" w:customStyle="1" w:styleId="LFO5">
    <w:name w:val="LFO5"/>
    <w:basedOn w:val="a6"/>
    <w:rsid w:val="00A52886"/>
    <w:pPr>
      <w:numPr>
        <w:numId w:val="10"/>
      </w:numPr>
    </w:pPr>
  </w:style>
  <w:style w:type="paragraph" w:customStyle="1" w:styleId="1-">
    <w:name w:val="1.-內文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430" w:firstLine="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">
    <w:name w:val="(一)-內文"/>
    <w:basedOn w:val="afff2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330" w:left="330"/>
      <w:textAlignment w:val="auto"/>
    </w:pPr>
    <w:rPr>
      <w:rFonts w:ascii="標楷體" w:hAnsi="標楷體"/>
      <w:kern w:val="2"/>
      <w:szCs w:val="28"/>
    </w:rPr>
  </w:style>
  <w:style w:type="paragraph" w:customStyle="1" w:styleId="1-0">
    <w:name w:val="(1)-內文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585" w:firstLine="0"/>
      <w:textAlignment w:val="auto"/>
    </w:pPr>
    <w:rPr>
      <w:rFonts w:ascii="標楷體" w:hAnsi="標楷體"/>
      <w:kern w:val="2"/>
      <w:szCs w:val="28"/>
    </w:rPr>
  </w:style>
  <w:style w:type="paragraph" w:customStyle="1" w:styleId="affffffff0">
    <w:name w:val="a.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685" w:hangingChars="100" w:hanging="100"/>
      <w:textAlignment w:val="auto"/>
    </w:pPr>
    <w:rPr>
      <w:rFonts w:ascii="標楷體" w:hAnsi="標楷體"/>
      <w:kern w:val="2"/>
      <w:szCs w:val="28"/>
    </w:rPr>
  </w:style>
  <w:style w:type="paragraph" w:customStyle="1" w:styleId="-2">
    <w:name w:val="(十一)-內文"/>
    <w:basedOn w:val="-1"/>
    <w:uiPriority w:val="99"/>
    <w:rsid w:val="00A52886"/>
    <w:pPr>
      <w:ind w:leftChars="430" w:left="430"/>
    </w:pPr>
  </w:style>
  <w:style w:type="paragraph" w:customStyle="1" w:styleId="-10">
    <w:name w:val="(十一)-1.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530" w:hangingChars="100" w:hanging="10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1">
    <w:name w:val="(十一)-(1)"/>
    <w:basedOn w:val="-10"/>
    <w:uiPriority w:val="99"/>
    <w:rsid w:val="00A52886"/>
    <w:pPr>
      <w:ind w:leftChars="530" w:left="1872" w:hangingChars="150" w:hanging="413"/>
    </w:pPr>
  </w:style>
  <w:style w:type="paragraph" w:customStyle="1" w:styleId="-1-">
    <w:name w:val="(十一)-(1)-內文"/>
    <w:basedOn w:val="-11"/>
    <w:uiPriority w:val="99"/>
    <w:rsid w:val="00A52886"/>
    <w:pPr>
      <w:ind w:leftChars="680" w:left="1873" w:firstLineChars="0" w:firstLine="0"/>
    </w:pPr>
  </w:style>
  <w:style w:type="paragraph" w:customStyle="1" w:styleId="-A">
    <w:name w:val="(十一)-A."/>
    <w:basedOn w:val="-11"/>
    <w:uiPriority w:val="99"/>
    <w:rsid w:val="00A52886"/>
    <w:pPr>
      <w:ind w:leftChars="680" w:left="780" w:hangingChars="100" w:hanging="100"/>
    </w:pPr>
  </w:style>
  <w:style w:type="paragraph" w:customStyle="1" w:styleId="-1-0">
    <w:name w:val="(十一)-1.-內文"/>
    <w:basedOn w:val="-10"/>
    <w:uiPriority w:val="99"/>
    <w:rsid w:val="00A52886"/>
    <w:pPr>
      <w:ind w:leftChars="530" w:firstLineChars="0" w:firstLine="0"/>
    </w:pPr>
  </w:style>
  <w:style w:type="paragraph" w:customStyle="1" w:styleId="1-1">
    <w:name w:val="(1)-圈"/>
    <w:basedOn w:val="1f"/>
    <w:uiPriority w:val="99"/>
    <w:rsid w:val="00A52886"/>
    <w:pPr>
      <w:widowControl/>
      <w:suppressAutoHyphens w:val="0"/>
      <w:autoSpaceDN/>
      <w:adjustRightInd w:val="0"/>
      <w:snapToGrid w:val="0"/>
      <w:spacing w:line="325" w:lineRule="exact"/>
      <w:ind w:leftChars="100" w:left="200" w:hangingChars="100" w:hanging="100"/>
      <w:textAlignment w:val="auto"/>
    </w:pPr>
    <w:rPr>
      <w:rFonts w:ascii="標楷體"/>
      <w:kern w:val="0"/>
      <w:sz w:val="26"/>
      <w:szCs w:val="20"/>
    </w:rPr>
  </w:style>
  <w:style w:type="paragraph" w:customStyle="1" w:styleId="affffffff1">
    <w:name w:val="本文一"/>
    <w:basedOn w:val="ab"/>
    <w:uiPriority w:val="99"/>
    <w:rsid w:val="00A52886"/>
    <w:pPr>
      <w:adjustRightInd w:val="0"/>
      <w:snapToGrid w:val="0"/>
      <w:spacing w:line="386" w:lineRule="exact"/>
      <w:ind w:leftChars="20" w:left="220" w:rightChars="20" w:right="20" w:hangingChars="200" w:hanging="200"/>
      <w:jc w:val="both"/>
    </w:pPr>
    <w:rPr>
      <w:rFonts w:ascii="標楷體"/>
      <w:color w:val="000000"/>
      <w:kern w:val="0"/>
      <w:sz w:val="24"/>
      <w:lang w:val="x-none" w:eastAsia="x-none"/>
    </w:rPr>
  </w:style>
  <w:style w:type="character" w:customStyle="1" w:styleId="gray12h251">
    <w:name w:val="gray12_h251"/>
    <w:uiPriority w:val="99"/>
    <w:rsid w:val="00A52886"/>
    <w:rPr>
      <w:rFonts w:cs="Times New Roman"/>
      <w:color w:val="737373"/>
      <w:sz w:val="14"/>
      <w:szCs w:val="14"/>
      <w:u w:val="none"/>
      <w:effect w:val="none"/>
    </w:rPr>
  </w:style>
  <w:style w:type="paragraph" w:customStyle="1" w:styleId="2fb">
    <w:name w:val="字元 字元2"/>
    <w:basedOn w:val="a3"/>
    <w:uiPriority w:val="99"/>
    <w:rsid w:val="00A52886"/>
    <w:pPr>
      <w:widowControl/>
      <w:adjustRightInd w:val="0"/>
      <w:snapToGrid w:val="0"/>
      <w:spacing w:after="160" w:line="240" w:lineRule="exact"/>
      <w:jc w:val="both"/>
    </w:pPr>
    <w:rPr>
      <w:rFonts w:ascii="Tahoma" w:eastAsia="標楷體" w:hAnsi="Tahoma" w:cs="Tahoma"/>
      <w:kern w:val="0"/>
      <w:sz w:val="20"/>
      <w:szCs w:val="20"/>
      <w:lang w:eastAsia="en-US"/>
    </w:rPr>
  </w:style>
  <w:style w:type="paragraph" w:customStyle="1" w:styleId="1fff2">
    <w:name w:val="@1"/>
    <w:basedOn w:val="a3"/>
    <w:link w:val="1fff3"/>
    <w:rsid w:val="00F26E21"/>
    <w:pPr>
      <w:spacing w:afterLines="100" w:after="360"/>
      <w:jc w:val="center"/>
    </w:pPr>
    <w:rPr>
      <w:rFonts w:ascii="標楷體" w:eastAsia="標楷體"/>
      <w:b/>
      <w:sz w:val="96"/>
      <w:szCs w:val="96"/>
    </w:rPr>
  </w:style>
  <w:style w:type="paragraph" w:customStyle="1" w:styleId="3f2">
    <w:name w:val="@3"/>
    <w:basedOn w:val="af2"/>
    <w:link w:val="3f3"/>
    <w:rsid w:val="00F26E21"/>
    <w:pPr>
      <w:adjustRightInd w:val="0"/>
      <w:snapToGrid w:val="0"/>
      <w:jc w:val="both"/>
    </w:pPr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1fff3">
    <w:name w:val="@1 字元"/>
    <w:link w:val="1fff2"/>
    <w:rsid w:val="00F26E21"/>
    <w:rPr>
      <w:rFonts w:ascii="標楷體" w:eastAsia="標楷體"/>
      <w:b/>
      <w:sz w:val="96"/>
      <w:szCs w:val="96"/>
    </w:rPr>
  </w:style>
  <w:style w:type="paragraph" w:customStyle="1" w:styleId="4a">
    <w:name w:val="@4"/>
    <w:basedOn w:val="a3"/>
    <w:link w:val="4b"/>
    <w:rsid w:val="00F26E21"/>
    <w:pPr>
      <w:snapToGrid w:val="0"/>
      <w:ind w:leftChars="59" w:left="142"/>
      <w:jc w:val="both"/>
    </w:pPr>
    <w:rPr>
      <w:rFonts w:ascii="標楷體" w:eastAsia="標楷體" w:hAnsi="標楷體"/>
      <w:bCs/>
      <w:sz w:val="28"/>
      <w:szCs w:val="28"/>
    </w:rPr>
  </w:style>
  <w:style w:type="character" w:customStyle="1" w:styleId="3f3">
    <w:name w:val="@3 字元"/>
    <w:link w:val="3f2"/>
    <w:rsid w:val="00F26E21"/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4b">
    <w:name w:val="@4 字元"/>
    <w:link w:val="4a"/>
    <w:rsid w:val="00F26E21"/>
    <w:rPr>
      <w:rFonts w:ascii="標楷體" w:eastAsia="標楷體" w:hAnsi="標楷體"/>
      <w:bCs/>
      <w:sz w:val="28"/>
      <w:szCs w:val="28"/>
    </w:rPr>
  </w:style>
  <w:style w:type="paragraph" w:customStyle="1" w:styleId="58">
    <w:name w:val="@5"/>
    <w:basedOn w:val="a3"/>
    <w:link w:val="59"/>
    <w:rsid w:val="00C54BA2"/>
    <w:pPr>
      <w:snapToGrid w:val="0"/>
      <w:ind w:leftChars="177" w:left="425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0">
    <w:name w:val="@0"/>
    <w:basedOn w:val="a3"/>
    <w:link w:val="00"/>
    <w:rsid w:val="00C54BA2"/>
    <w:pPr>
      <w:snapToGrid w:val="0"/>
      <w:ind w:leftChars="292" w:left="707" w:hangingChars="2" w:hanging="6"/>
      <w:jc w:val="both"/>
    </w:pPr>
    <w:rPr>
      <w:rFonts w:ascii="標楷體" w:eastAsia="標楷體" w:hAnsi="標楷體"/>
      <w:sz w:val="28"/>
      <w:szCs w:val="28"/>
    </w:rPr>
  </w:style>
  <w:style w:type="character" w:customStyle="1" w:styleId="59">
    <w:name w:val="@5 字元"/>
    <w:link w:val="58"/>
    <w:rsid w:val="00C54BA2"/>
    <w:rPr>
      <w:rFonts w:ascii="標楷體" w:eastAsia="標楷體" w:hAnsi="標楷體"/>
      <w:bCs/>
      <w:sz w:val="28"/>
      <w:szCs w:val="28"/>
    </w:rPr>
  </w:style>
  <w:style w:type="paragraph" w:customStyle="1" w:styleId="63">
    <w:name w:val="@6"/>
    <w:basedOn w:val="a3"/>
    <w:link w:val="64"/>
    <w:rsid w:val="00C54BA2"/>
    <w:pPr>
      <w:snapToGrid w:val="0"/>
      <w:ind w:leftChars="178" w:left="850" w:hangingChars="151" w:hanging="423"/>
      <w:jc w:val="both"/>
    </w:pPr>
    <w:rPr>
      <w:rFonts w:ascii="標楷體" w:eastAsia="標楷體" w:hAnsi="標楷體"/>
      <w:sz w:val="28"/>
      <w:szCs w:val="28"/>
    </w:rPr>
  </w:style>
  <w:style w:type="character" w:customStyle="1" w:styleId="00">
    <w:name w:val="@0 字元"/>
    <w:link w:val="0"/>
    <w:rsid w:val="00C54BA2"/>
    <w:rPr>
      <w:rFonts w:ascii="標楷體" w:eastAsia="標楷體" w:hAnsi="標楷體"/>
      <w:sz w:val="28"/>
      <w:szCs w:val="28"/>
    </w:rPr>
  </w:style>
  <w:style w:type="character" w:customStyle="1" w:styleId="64">
    <w:name w:val="@6 字元"/>
    <w:link w:val="63"/>
    <w:rsid w:val="00C54BA2"/>
    <w:rPr>
      <w:rFonts w:ascii="標楷體" w:eastAsia="標楷體" w:hAnsi="標楷體"/>
      <w:sz w:val="28"/>
      <w:szCs w:val="28"/>
    </w:rPr>
  </w:style>
  <w:style w:type="paragraph" w:customStyle="1" w:styleId="affffffff2">
    <w:name w:val="@內文"/>
    <w:basedOn w:val="a3"/>
    <w:link w:val="affffffff3"/>
    <w:qFormat/>
    <w:rsid w:val="00E62E84"/>
    <w:pPr>
      <w:spacing w:line="360" w:lineRule="exact"/>
    </w:pPr>
    <w:rPr>
      <w:rFonts w:ascii="標楷體" w:eastAsia="標楷體" w:hAnsi="標楷體"/>
      <w:sz w:val="28"/>
      <w:szCs w:val="28"/>
    </w:rPr>
  </w:style>
  <w:style w:type="paragraph" w:customStyle="1" w:styleId="affffffff4">
    <w:name w:val="@大大標"/>
    <w:basedOn w:val="a3"/>
    <w:link w:val="affffffff5"/>
    <w:qFormat/>
    <w:rsid w:val="00E62E84"/>
    <w:pPr>
      <w:jc w:val="center"/>
    </w:pPr>
    <w:rPr>
      <w:rFonts w:ascii="標楷體" w:eastAsia="標楷體" w:hAnsi="標楷體"/>
      <w:b/>
      <w:sz w:val="96"/>
      <w:szCs w:val="96"/>
    </w:rPr>
  </w:style>
  <w:style w:type="character" w:customStyle="1" w:styleId="affffffff3">
    <w:name w:val="@內文 字元"/>
    <w:link w:val="affffffff2"/>
    <w:rsid w:val="00E62E84"/>
    <w:rPr>
      <w:rFonts w:ascii="標楷體" w:eastAsia="標楷體" w:hAnsi="標楷體"/>
      <w:sz w:val="28"/>
      <w:szCs w:val="28"/>
    </w:rPr>
  </w:style>
  <w:style w:type="paragraph" w:customStyle="1" w:styleId="affffffff6">
    <w:name w:val="@大標"/>
    <w:basedOn w:val="a3"/>
    <w:link w:val="affffffff7"/>
    <w:qFormat/>
    <w:rsid w:val="00453AEE"/>
    <w:pPr>
      <w:spacing w:before="120" w:after="120" w:line="360" w:lineRule="exact"/>
    </w:pPr>
    <w:rPr>
      <w:rFonts w:ascii="新細明體" w:hAnsi="新細明體"/>
      <w:b/>
      <w:sz w:val="40"/>
      <w:szCs w:val="40"/>
    </w:rPr>
  </w:style>
  <w:style w:type="character" w:customStyle="1" w:styleId="affffffff5">
    <w:name w:val="@大大標 字元"/>
    <w:link w:val="affffffff4"/>
    <w:rsid w:val="00E62E84"/>
    <w:rPr>
      <w:rFonts w:ascii="標楷體" w:eastAsia="標楷體" w:hAnsi="標楷體"/>
      <w:b/>
      <w:sz w:val="96"/>
      <w:szCs w:val="96"/>
    </w:rPr>
  </w:style>
  <w:style w:type="paragraph" w:customStyle="1" w:styleId="affffffff8">
    <w:name w:val="@中標"/>
    <w:basedOn w:val="a3"/>
    <w:link w:val="affffffff9"/>
    <w:qFormat/>
    <w:rsid w:val="00E62E84"/>
    <w:pPr>
      <w:spacing w:line="36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affffffff7">
    <w:name w:val="@大標 字元"/>
    <w:link w:val="affffffff6"/>
    <w:rsid w:val="00453AEE"/>
    <w:rPr>
      <w:rFonts w:ascii="新細明體" w:eastAsia="新細明體" w:hAnsi="新細明體"/>
      <w:b/>
      <w:sz w:val="40"/>
      <w:szCs w:val="40"/>
    </w:rPr>
  </w:style>
  <w:style w:type="paragraph" w:customStyle="1" w:styleId="affffffffa">
    <w:name w:val="@小標"/>
    <w:basedOn w:val="a3"/>
    <w:link w:val="affffffffb"/>
    <w:qFormat/>
    <w:rsid w:val="00E62E84"/>
    <w:pPr>
      <w:spacing w:line="360" w:lineRule="exact"/>
      <w:ind w:leftChars="100" w:left="240" w:rightChars="100" w:right="100"/>
    </w:pPr>
    <w:rPr>
      <w:rFonts w:ascii="標楷體" w:eastAsia="標楷體" w:hAnsi="標楷體"/>
      <w:sz w:val="28"/>
      <w:szCs w:val="28"/>
    </w:rPr>
  </w:style>
  <w:style w:type="character" w:customStyle="1" w:styleId="affffffff9">
    <w:name w:val="@中標 字元"/>
    <w:link w:val="affffffff8"/>
    <w:rsid w:val="00E62E84"/>
    <w:rPr>
      <w:rFonts w:ascii="標楷體" w:eastAsia="標楷體" w:hAnsi="標楷體"/>
      <w:b/>
      <w:sz w:val="28"/>
      <w:szCs w:val="28"/>
    </w:rPr>
  </w:style>
  <w:style w:type="character" w:customStyle="1" w:styleId="affffffffb">
    <w:name w:val="@小標 字元"/>
    <w:link w:val="affffffffa"/>
    <w:rsid w:val="00E62E84"/>
    <w:rPr>
      <w:rFonts w:ascii="標楷體" w:eastAsia="標楷體" w:hAnsi="標楷體"/>
      <w:sz w:val="28"/>
      <w:szCs w:val="28"/>
    </w:rPr>
  </w:style>
  <w:style w:type="paragraph" w:customStyle="1" w:styleId="affffffffc">
    <w:name w:val="@註"/>
    <w:basedOn w:val="a3"/>
    <w:link w:val="affffffffd"/>
    <w:qFormat/>
    <w:rsid w:val="006B59CF"/>
    <w:pPr>
      <w:spacing w:line="360" w:lineRule="exact"/>
      <w:jc w:val="right"/>
    </w:pPr>
    <w:rPr>
      <w:rFonts w:ascii="新細明體" w:hAnsi="新細明體"/>
      <w:szCs w:val="24"/>
    </w:rPr>
  </w:style>
  <w:style w:type="character" w:customStyle="1" w:styleId="affffffffd">
    <w:name w:val="@註 字元"/>
    <w:link w:val="affffffffc"/>
    <w:rsid w:val="006B59CF"/>
    <w:rPr>
      <w:rFonts w:ascii="新細明體" w:hAnsi="新細明體"/>
      <w:szCs w:val="24"/>
    </w:rPr>
  </w:style>
  <w:style w:type="paragraph" w:customStyle="1" w:styleId="1-4">
    <w:name w:val="1.-縮4"/>
    <w:basedOn w:val="1d"/>
    <w:rsid w:val="00B217E9"/>
    <w:pPr>
      <w:suppressAutoHyphens w:val="0"/>
      <w:autoSpaceDN/>
      <w:adjustRightInd w:val="0"/>
      <w:snapToGrid w:val="0"/>
      <w:spacing w:before="0" w:after="0" w:line="404" w:lineRule="exact"/>
      <w:ind w:leftChars="300" w:left="700" w:hangingChars="400" w:hanging="40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styleId="affffffffe">
    <w:name w:val="List Paragraph"/>
    <w:basedOn w:val="a3"/>
    <w:uiPriority w:val="34"/>
    <w:qFormat/>
    <w:rsid w:val="006173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ordia New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</w:pPr>
    <w:rPr>
      <w:kern w:val="2"/>
      <w:sz w:val="24"/>
      <w:szCs w:val="22"/>
    </w:rPr>
  </w:style>
  <w:style w:type="paragraph" w:styleId="11">
    <w:name w:val="heading 1"/>
    <w:basedOn w:val="a3"/>
    <w:next w:val="a3"/>
    <w:link w:val="12"/>
    <w:uiPriority w:val="99"/>
    <w:qFormat/>
    <w:rsid w:val="00A52886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paragraph" w:styleId="2">
    <w:name w:val="heading 2"/>
    <w:basedOn w:val="a3"/>
    <w:next w:val="a3"/>
    <w:link w:val="20"/>
    <w:qFormat/>
    <w:rsid w:val="00A52886"/>
    <w:pPr>
      <w:keepNext/>
      <w:suppressAutoHyphens/>
      <w:autoSpaceDN w:val="0"/>
      <w:spacing w:line="720" w:lineRule="auto"/>
      <w:textAlignment w:val="baseline"/>
      <w:outlineLvl w:val="1"/>
    </w:pPr>
    <w:rPr>
      <w:rFonts w:ascii="Arial" w:hAnsi="Arial" w:cs="Times New Roman"/>
      <w:b/>
      <w:bCs/>
      <w:kern w:val="3"/>
      <w:sz w:val="48"/>
      <w:szCs w:val="48"/>
    </w:rPr>
  </w:style>
  <w:style w:type="paragraph" w:styleId="3">
    <w:name w:val="heading 3"/>
    <w:basedOn w:val="a3"/>
    <w:next w:val="a3"/>
    <w:link w:val="30"/>
    <w:qFormat/>
    <w:rsid w:val="00A52886"/>
    <w:pPr>
      <w:keepNext/>
      <w:tabs>
        <w:tab w:val="left" w:pos="900"/>
      </w:tabs>
      <w:suppressAutoHyphens/>
      <w:autoSpaceDE w:val="0"/>
      <w:autoSpaceDN w:val="0"/>
      <w:snapToGrid w:val="0"/>
      <w:spacing w:line="720" w:lineRule="atLeast"/>
      <w:ind w:left="588" w:hanging="480"/>
      <w:jc w:val="both"/>
      <w:textAlignment w:val="baseline"/>
      <w:outlineLvl w:val="2"/>
    </w:pPr>
    <w:rPr>
      <w:rFonts w:ascii="Arial" w:hAnsi="Arial" w:cs="Times New Roman"/>
      <w:bCs/>
      <w:color w:val="000080"/>
      <w:kern w:val="0"/>
      <w:sz w:val="36"/>
      <w:szCs w:val="36"/>
    </w:rPr>
  </w:style>
  <w:style w:type="paragraph" w:styleId="4">
    <w:name w:val="heading 4"/>
    <w:basedOn w:val="a3"/>
    <w:next w:val="a3"/>
    <w:link w:val="40"/>
    <w:qFormat/>
    <w:rsid w:val="00A52886"/>
    <w:pPr>
      <w:keepNext/>
      <w:suppressAutoHyphens/>
      <w:autoSpaceDN w:val="0"/>
      <w:spacing w:line="720" w:lineRule="auto"/>
      <w:textAlignment w:val="baseline"/>
      <w:outlineLvl w:val="3"/>
    </w:pPr>
    <w:rPr>
      <w:rFonts w:ascii="Arial" w:hAnsi="Arial" w:cs="Times New Roman"/>
      <w:kern w:val="3"/>
      <w:sz w:val="36"/>
      <w:szCs w:val="36"/>
    </w:rPr>
  </w:style>
  <w:style w:type="paragraph" w:styleId="5">
    <w:name w:val="heading 5"/>
    <w:basedOn w:val="a3"/>
    <w:next w:val="a3"/>
    <w:link w:val="50"/>
    <w:qFormat/>
    <w:rsid w:val="00A52886"/>
    <w:pPr>
      <w:keepNext/>
      <w:spacing w:line="720" w:lineRule="auto"/>
      <w:ind w:leftChars="200" w:left="200"/>
      <w:outlineLvl w:val="4"/>
    </w:pPr>
    <w:rPr>
      <w:rFonts w:ascii="Arial" w:hAnsi="Arial" w:cs="Times New Roman"/>
      <w:b/>
      <w:bCs/>
      <w:sz w:val="36"/>
      <w:szCs w:val="36"/>
    </w:rPr>
  </w:style>
  <w:style w:type="paragraph" w:styleId="6">
    <w:name w:val="heading 6"/>
    <w:basedOn w:val="a3"/>
    <w:next w:val="a3"/>
    <w:link w:val="60"/>
    <w:qFormat/>
    <w:rsid w:val="00A52886"/>
    <w:pPr>
      <w:keepNext/>
      <w:spacing w:line="720" w:lineRule="auto"/>
      <w:ind w:leftChars="200" w:left="200"/>
      <w:outlineLvl w:val="5"/>
    </w:pPr>
    <w:rPr>
      <w:rFonts w:ascii="Arial" w:hAnsi="Arial" w:cs="Times New Roman"/>
      <w:sz w:val="36"/>
      <w:szCs w:val="36"/>
    </w:rPr>
  </w:style>
  <w:style w:type="paragraph" w:styleId="7">
    <w:name w:val="heading 7"/>
    <w:basedOn w:val="a3"/>
    <w:next w:val="a3"/>
    <w:link w:val="70"/>
    <w:qFormat/>
    <w:rsid w:val="00A52886"/>
    <w:pPr>
      <w:keepNext/>
      <w:spacing w:line="720" w:lineRule="auto"/>
      <w:ind w:leftChars="400" w:left="400"/>
      <w:outlineLvl w:val="6"/>
    </w:pPr>
    <w:rPr>
      <w:rFonts w:ascii="Arial" w:hAnsi="Arial" w:cs="Times New Roman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A52886"/>
    <w:pPr>
      <w:keepNext/>
      <w:spacing w:line="720" w:lineRule="auto"/>
      <w:ind w:leftChars="400" w:left="400"/>
      <w:outlineLvl w:val="7"/>
    </w:pPr>
    <w:rPr>
      <w:rFonts w:ascii="Arial" w:hAnsi="Arial" w:cs="Times New Roman"/>
      <w:sz w:val="36"/>
      <w:szCs w:val="36"/>
    </w:rPr>
  </w:style>
  <w:style w:type="paragraph" w:styleId="9">
    <w:name w:val="heading 9"/>
    <w:basedOn w:val="a3"/>
    <w:next w:val="a3"/>
    <w:link w:val="90"/>
    <w:qFormat/>
    <w:rsid w:val="00A52886"/>
    <w:pPr>
      <w:keepNext/>
      <w:spacing w:line="720" w:lineRule="auto"/>
      <w:ind w:leftChars="400" w:left="400"/>
      <w:outlineLvl w:val="8"/>
    </w:pPr>
    <w:rPr>
      <w:rFonts w:ascii="Arial" w:hAnsi="Arial" w:cs="Times New Roman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link w:val="11"/>
    <w:uiPriority w:val="99"/>
    <w:rsid w:val="00A52886"/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character" w:customStyle="1" w:styleId="20">
    <w:name w:val="標題 2 字元"/>
    <w:link w:val="2"/>
    <w:rsid w:val="00A52886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link w:val="3"/>
    <w:rsid w:val="00A52886"/>
    <w:rPr>
      <w:rFonts w:ascii="Arial" w:eastAsia="新細明體" w:hAnsi="Arial" w:cs="Times New Roman"/>
      <w:bCs/>
      <w:color w:val="000080"/>
      <w:kern w:val="0"/>
      <w:sz w:val="36"/>
      <w:szCs w:val="36"/>
    </w:rPr>
  </w:style>
  <w:style w:type="character" w:customStyle="1" w:styleId="40">
    <w:name w:val="標題 4 字元"/>
    <w:link w:val="4"/>
    <w:rsid w:val="00A52886"/>
    <w:rPr>
      <w:rFonts w:ascii="Arial" w:eastAsia="新細明體" w:hAnsi="Arial" w:cs="Times New Roman"/>
      <w:kern w:val="3"/>
      <w:sz w:val="36"/>
      <w:szCs w:val="36"/>
    </w:rPr>
  </w:style>
  <w:style w:type="character" w:customStyle="1" w:styleId="50">
    <w:name w:val="標題 5 字元"/>
    <w:link w:val="5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link w:val="6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link w:val="8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link w:val="9"/>
    <w:rsid w:val="00A52886"/>
    <w:rPr>
      <w:rFonts w:ascii="Arial" w:eastAsia="新細明體" w:hAnsi="Arial" w:cs="Times New Roman"/>
      <w:sz w:val="36"/>
      <w:szCs w:val="36"/>
    </w:rPr>
  </w:style>
  <w:style w:type="paragraph" w:customStyle="1" w:styleId="a7">
    <w:name w:val="首長"/>
    <w:basedOn w:val="a3"/>
    <w:rsid w:val="00A52886"/>
    <w:pPr>
      <w:snapToGrid w:val="0"/>
    </w:pPr>
    <w:rPr>
      <w:rFonts w:ascii="標楷體" w:eastAsia="標楷體" w:hAnsi="Times New Roman" w:cs="Times New Roman" w:hint="eastAsia"/>
      <w:sz w:val="36"/>
      <w:szCs w:val="20"/>
    </w:rPr>
  </w:style>
  <w:style w:type="paragraph" w:styleId="21">
    <w:name w:val="Body Text Indent 2"/>
    <w:basedOn w:val="a3"/>
    <w:link w:val="22"/>
    <w:uiPriority w:val="99"/>
    <w:rsid w:val="00A52886"/>
    <w:pPr>
      <w:spacing w:after="120" w:line="480" w:lineRule="auto"/>
      <w:ind w:leftChars="200" w:left="480"/>
    </w:pPr>
    <w:rPr>
      <w:rFonts w:ascii="Times New Roman" w:hAnsi="Times New Roman" w:cs="Times New Roman"/>
      <w:szCs w:val="20"/>
    </w:rPr>
  </w:style>
  <w:style w:type="character" w:customStyle="1" w:styleId="22">
    <w:name w:val="本文縮排 2 字元"/>
    <w:link w:val="21"/>
    <w:uiPriority w:val="99"/>
    <w:rsid w:val="00A5288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3"/>
    <w:link w:val="32"/>
    <w:uiPriority w:val="99"/>
    <w:rsid w:val="00A52886"/>
    <w:pPr>
      <w:spacing w:line="520" w:lineRule="exact"/>
      <w:ind w:left="22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32">
    <w:name w:val="本文縮排 3 字元"/>
    <w:link w:val="31"/>
    <w:uiPriority w:val="99"/>
    <w:rsid w:val="00A52886"/>
    <w:rPr>
      <w:rFonts w:ascii="Times New Roman" w:eastAsia="標楷體" w:hAnsi="Times New Roman" w:cs="Times New Roman"/>
      <w:sz w:val="32"/>
      <w:szCs w:val="24"/>
    </w:rPr>
  </w:style>
  <w:style w:type="paragraph" w:customStyle="1" w:styleId="a8">
    <w:name w:val="說明"/>
    <w:basedOn w:val="a3"/>
    <w:uiPriority w:val="99"/>
    <w:rsid w:val="00A5288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4"/>
    </w:rPr>
  </w:style>
  <w:style w:type="paragraph" w:styleId="a9">
    <w:name w:val="Body Text Indent"/>
    <w:basedOn w:val="a3"/>
    <w:link w:val="aa"/>
    <w:uiPriority w:val="99"/>
    <w:rsid w:val="00A52886"/>
    <w:pPr>
      <w:spacing w:line="540" w:lineRule="exact"/>
      <w:ind w:leftChars="283" w:left="679" w:firstLineChars="100" w:firstLine="320"/>
    </w:pPr>
    <w:rPr>
      <w:rFonts w:ascii="標楷體" w:eastAsia="標楷體" w:hAnsi="標楷體" w:cs="Times New Roman"/>
      <w:sz w:val="32"/>
      <w:szCs w:val="24"/>
    </w:rPr>
  </w:style>
  <w:style w:type="character" w:customStyle="1" w:styleId="aa">
    <w:name w:val="本文縮排 字元"/>
    <w:link w:val="a9"/>
    <w:uiPriority w:val="99"/>
    <w:rsid w:val="00A52886"/>
    <w:rPr>
      <w:rFonts w:ascii="標楷體" w:eastAsia="標楷體" w:hAnsi="標楷體" w:cs="Times New Roman"/>
      <w:sz w:val="32"/>
      <w:szCs w:val="24"/>
    </w:rPr>
  </w:style>
  <w:style w:type="paragraph" w:styleId="ab">
    <w:name w:val="Body Text"/>
    <w:basedOn w:val="a3"/>
    <w:link w:val="13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character" w:customStyle="1" w:styleId="ac">
    <w:name w:val="本文 字元"/>
    <w:basedOn w:val="a4"/>
    <w:uiPriority w:val="99"/>
    <w:rsid w:val="00A52886"/>
  </w:style>
  <w:style w:type="paragraph" w:styleId="ad">
    <w:name w:val="footer"/>
    <w:basedOn w:val="a3"/>
    <w:link w:val="ae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頁尾 字元"/>
    <w:link w:val="ad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4"/>
    <w:uiPriority w:val="99"/>
    <w:rsid w:val="00A52886"/>
  </w:style>
  <w:style w:type="paragraph" w:styleId="23">
    <w:name w:val="Body Text 2"/>
    <w:basedOn w:val="a3"/>
    <w:link w:val="24"/>
    <w:rsid w:val="00A52886"/>
    <w:rPr>
      <w:rFonts w:ascii="Times New Roman" w:eastAsia="標楷體" w:hAnsi="Times New Roman" w:cs="Times New Roman"/>
      <w:sz w:val="36"/>
      <w:szCs w:val="24"/>
    </w:rPr>
  </w:style>
  <w:style w:type="character" w:customStyle="1" w:styleId="24">
    <w:name w:val="本文 2 字元"/>
    <w:link w:val="23"/>
    <w:rsid w:val="00A52886"/>
    <w:rPr>
      <w:rFonts w:ascii="Times New Roman" w:eastAsia="標楷體" w:hAnsi="Times New Roman" w:cs="Times New Roman"/>
      <w:sz w:val="36"/>
      <w:szCs w:val="24"/>
    </w:rPr>
  </w:style>
  <w:style w:type="paragraph" w:customStyle="1" w:styleId="af0">
    <w:name w:val="主旨"/>
    <w:basedOn w:val="a3"/>
    <w:uiPriority w:val="99"/>
    <w:rsid w:val="00A52886"/>
    <w:pPr>
      <w:wordWrap w:val="0"/>
      <w:snapToGrid w:val="0"/>
    </w:pPr>
    <w:rPr>
      <w:rFonts w:ascii="Times New Roman" w:eastAsia="標楷體" w:hAnsi="Times New Roman" w:cs="Times New Roman"/>
      <w:sz w:val="32"/>
      <w:szCs w:val="20"/>
    </w:rPr>
  </w:style>
  <w:style w:type="paragraph" w:styleId="af1">
    <w:name w:val="Block Text"/>
    <w:basedOn w:val="a3"/>
    <w:rsid w:val="00A52886"/>
    <w:pPr>
      <w:spacing w:line="480" w:lineRule="exact"/>
      <w:ind w:leftChars="300" w:left="720" w:rightChars="13" w:right="31"/>
    </w:pPr>
    <w:rPr>
      <w:rFonts w:ascii="標楷體" w:eastAsia="標楷體" w:hAnsi="Times New Roman" w:cs="Times New Roman"/>
      <w:sz w:val="32"/>
      <w:szCs w:val="28"/>
    </w:rPr>
  </w:style>
  <w:style w:type="paragraph" w:styleId="af2">
    <w:name w:val="annotation text"/>
    <w:basedOn w:val="a3"/>
    <w:link w:val="af3"/>
    <w:rsid w:val="00A52886"/>
    <w:rPr>
      <w:rFonts w:ascii="Times New Roman" w:eastAsia="標楷體" w:hAnsi="Times New Roman" w:cs="Times New Roman"/>
      <w:sz w:val="32"/>
      <w:szCs w:val="32"/>
    </w:rPr>
  </w:style>
  <w:style w:type="character" w:customStyle="1" w:styleId="af3">
    <w:name w:val="註解文字 字元"/>
    <w:link w:val="af2"/>
    <w:rsid w:val="00A52886"/>
    <w:rPr>
      <w:rFonts w:ascii="Times New Roman" w:eastAsia="標楷體" w:hAnsi="Times New Roman" w:cs="Times New Roman"/>
      <w:sz w:val="32"/>
      <w:szCs w:val="32"/>
    </w:rPr>
  </w:style>
  <w:style w:type="paragraph" w:styleId="af4">
    <w:name w:val="header"/>
    <w:basedOn w:val="a3"/>
    <w:link w:val="af5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頁首 字元"/>
    <w:link w:val="af4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paragraph" w:styleId="af6">
    <w:name w:val="Balloon Text"/>
    <w:basedOn w:val="a3"/>
    <w:link w:val="af7"/>
    <w:uiPriority w:val="99"/>
    <w:rsid w:val="00A52886"/>
    <w:rPr>
      <w:rFonts w:ascii="Arial" w:hAnsi="Arial" w:cs="Times New Roman"/>
      <w:sz w:val="18"/>
      <w:szCs w:val="18"/>
    </w:rPr>
  </w:style>
  <w:style w:type="character" w:customStyle="1" w:styleId="af7">
    <w:name w:val="註解方塊文字 字元"/>
    <w:link w:val="af6"/>
    <w:uiPriority w:val="99"/>
    <w:rsid w:val="00A52886"/>
    <w:rPr>
      <w:rFonts w:ascii="Arial" w:eastAsia="新細明體" w:hAnsi="Arial" w:cs="Times New Roman"/>
      <w:sz w:val="18"/>
      <w:szCs w:val="18"/>
    </w:rPr>
  </w:style>
  <w:style w:type="paragraph" w:customStyle="1" w:styleId="af8">
    <w:name w:val="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tax2">
    <w:name w:val="tax2"/>
    <w:rsid w:val="00A52886"/>
    <w:rPr>
      <w:color w:val="666666"/>
      <w:spacing w:val="320"/>
      <w:sz w:val="21"/>
      <w:szCs w:val="21"/>
    </w:rPr>
  </w:style>
  <w:style w:type="paragraph" w:customStyle="1" w:styleId="af9">
    <w:name w:val="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a">
    <w:name w:val="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b">
    <w:name w:val="Table Grid"/>
    <w:basedOn w:val="a5"/>
    <w:rsid w:val="00A52886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12h231">
    <w:name w:val="gray12_h231"/>
    <w:rsid w:val="00A52886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character" w:customStyle="1" w:styleId="tlh108mb">
    <w:name w:val="tlh108 mb"/>
    <w:basedOn w:val="a4"/>
    <w:rsid w:val="00A52886"/>
  </w:style>
  <w:style w:type="paragraph" w:styleId="afc">
    <w:name w:val="Document Map"/>
    <w:basedOn w:val="a3"/>
    <w:link w:val="afd"/>
    <w:semiHidden/>
    <w:rsid w:val="00A52886"/>
    <w:pPr>
      <w:shd w:val="clear" w:color="auto" w:fill="000080"/>
    </w:pPr>
    <w:rPr>
      <w:rFonts w:ascii="Arial" w:hAnsi="Arial" w:cs="Times New Roman"/>
      <w:szCs w:val="24"/>
    </w:rPr>
  </w:style>
  <w:style w:type="character" w:customStyle="1" w:styleId="afd">
    <w:name w:val="文件引導模式 字元"/>
    <w:link w:val="afc"/>
    <w:semiHidden/>
    <w:rsid w:val="00A52886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Preformatted"/>
    <w:basedOn w:val="a3"/>
    <w:link w:val="HTML0"/>
    <w:uiPriority w:val="99"/>
    <w:rsid w:val="00A52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link w:val="HTML"/>
    <w:uiPriority w:val="99"/>
    <w:rsid w:val="00A52886"/>
    <w:rPr>
      <w:rFonts w:ascii="細明體" w:eastAsia="細明體" w:hAnsi="細明體" w:cs="Times New Roman"/>
      <w:kern w:val="0"/>
      <w:szCs w:val="24"/>
    </w:rPr>
  </w:style>
  <w:style w:type="character" w:customStyle="1" w:styleId="a1221">
    <w:name w:val="a12_21"/>
    <w:rsid w:val="00A52886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4">
    <w:name w:val="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5">
    <w:name w:val="清單段落1"/>
    <w:aliases w:val="標題 (4),List Paragraph,1.1.1.1清單段落,列點"/>
    <w:basedOn w:val="a3"/>
    <w:link w:val="afe"/>
    <w:rsid w:val="00A52886"/>
    <w:pPr>
      <w:ind w:leftChars="200" w:left="480"/>
    </w:pPr>
    <w:rPr>
      <w:rFonts w:cs="Times New Roman"/>
    </w:rPr>
  </w:style>
  <w:style w:type="paragraph" w:customStyle="1" w:styleId="aff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0">
    <w:name w:val="Plain Text"/>
    <w:basedOn w:val="a3"/>
    <w:link w:val="aff1"/>
    <w:uiPriority w:val="99"/>
    <w:rsid w:val="00A52886"/>
    <w:rPr>
      <w:rFonts w:ascii="細明體" w:eastAsia="細明體" w:hAnsi="Courier New" w:cs="Times New Roman"/>
      <w:szCs w:val="20"/>
    </w:rPr>
  </w:style>
  <w:style w:type="character" w:customStyle="1" w:styleId="aff1">
    <w:name w:val="純文字 字元"/>
    <w:link w:val="aff0"/>
    <w:uiPriority w:val="99"/>
    <w:rsid w:val="00A52886"/>
    <w:rPr>
      <w:rFonts w:ascii="細明體" w:eastAsia="細明體" w:hAnsi="Courier New" w:cs="Times New Roman"/>
      <w:szCs w:val="20"/>
    </w:rPr>
  </w:style>
  <w:style w:type="paragraph" w:customStyle="1" w:styleId="110">
    <w:name w:val="字元1 字元 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6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2">
    <w:name w:val="( 一)"/>
    <w:uiPriority w:val="99"/>
    <w:rsid w:val="00A52886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 w:hAnsi="Times New Roman" w:cs="Times New Roman"/>
      <w:sz w:val="26"/>
    </w:rPr>
  </w:style>
  <w:style w:type="paragraph" w:customStyle="1" w:styleId="aff3">
    <w:name w:val="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4">
    <w:name w:val="Salutation"/>
    <w:basedOn w:val="a3"/>
    <w:next w:val="a3"/>
    <w:link w:val="aff5"/>
    <w:rsid w:val="00A52886"/>
    <w:rPr>
      <w:rFonts w:ascii="標楷體" w:eastAsia="標楷體" w:hAnsi="標楷體" w:cs="Times New Roman"/>
      <w:sz w:val="28"/>
      <w:szCs w:val="28"/>
    </w:rPr>
  </w:style>
  <w:style w:type="character" w:customStyle="1" w:styleId="aff5">
    <w:name w:val="問候 字元"/>
    <w:link w:val="aff4"/>
    <w:rsid w:val="00A52886"/>
    <w:rPr>
      <w:rFonts w:ascii="標楷體" w:eastAsia="標楷體" w:hAnsi="標楷體" w:cs="Times New Roman"/>
      <w:sz w:val="28"/>
      <w:szCs w:val="28"/>
    </w:rPr>
  </w:style>
  <w:style w:type="paragraph" w:customStyle="1" w:styleId="aff6">
    <w:name w:val="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4"/>
    <w:rsid w:val="00A52886"/>
  </w:style>
  <w:style w:type="character" w:styleId="aff7">
    <w:name w:val="Emphasis"/>
    <w:qFormat/>
    <w:rsid w:val="00A52886"/>
    <w:rPr>
      <w:b w:val="0"/>
      <w:bCs w:val="0"/>
      <w:i w:val="0"/>
      <w:iCs w:val="0"/>
      <w:color w:val="DD4B39"/>
    </w:rPr>
  </w:style>
  <w:style w:type="character" w:styleId="aff8">
    <w:name w:val="Hyperlink"/>
    <w:uiPriority w:val="99"/>
    <w:rsid w:val="00A52886"/>
    <w:rPr>
      <w:color w:val="0000FF"/>
      <w:u w:val="single"/>
    </w:rPr>
  </w:style>
  <w:style w:type="paragraph" w:customStyle="1" w:styleId="aff9">
    <w:name w:val="[基本段落]"/>
    <w:basedOn w:val="a3"/>
    <w:uiPriority w:val="99"/>
    <w:rsid w:val="00A5288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cs="Times New Roman"/>
      <w:color w:val="000000"/>
      <w:kern w:val="0"/>
      <w:szCs w:val="24"/>
      <w:lang w:val="zh-TW"/>
    </w:rPr>
  </w:style>
  <w:style w:type="paragraph" w:customStyle="1" w:styleId="100">
    <w:name w:val="(1)0標題"/>
    <w:basedOn w:val="a3"/>
    <w:link w:val="101"/>
    <w:rsid w:val="00A52886"/>
    <w:pPr>
      <w:snapToGrid w:val="0"/>
      <w:ind w:leftChars="674" w:left="2098" w:hanging="480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101">
    <w:name w:val="(1)0標題 字元"/>
    <w:link w:val="100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001">
    <w:name w:val="001.全部標題"/>
    <w:basedOn w:val="a3"/>
    <w:link w:val="0010"/>
    <w:rsid w:val="00A52886"/>
    <w:pPr>
      <w:snapToGrid w:val="0"/>
      <w:ind w:leftChars="550" w:left="1640" w:hangingChars="100" w:hanging="32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0010">
    <w:name w:val="001.全部標題 字元"/>
    <w:link w:val="001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affa">
    <w:name w:val="大一"/>
    <w:basedOn w:val="a3"/>
    <w:rsid w:val="00A52886"/>
    <w:pPr>
      <w:spacing w:line="324" w:lineRule="auto"/>
      <w:jc w:val="both"/>
    </w:pPr>
    <w:rPr>
      <w:rFonts w:ascii="Times New Roman" w:eastAsia="華康楷書體W7" w:hAnsi="Times New Roman" w:cs="Times New Roman"/>
      <w:sz w:val="48"/>
      <w:szCs w:val="24"/>
    </w:rPr>
  </w:style>
  <w:style w:type="paragraph" w:customStyle="1" w:styleId="17">
    <w:name w:val="清單段落1"/>
    <w:basedOn w:val="a3"/>
    <w:uiPriority w:val="99"/>
    <w:rsid w:val="00A52886"/>
    <w:pPr>
      <w:ind w:leftChars="200" w:left="480"/>
    </w:pPr>
    <w:rPr>
      <w:rFonts w:ascii="Times New Roman" w:hAnsi="Times New Roman" w:cs="Times New Roman"/>
      <w:szCs w:val="24"/>
    </w:rPr>
  </w:style>
  <w:style w:type="paragraph" w:styleId="affb">
    <w:name w:val="annotation subject"/>
    <w:basedOn w:val="af2"/>
    <w:next w:val="af2"/>
    <w:link w:val="affc"/>
    <w:rsid w:val="00A52886"/>
    <w:pPr>
      <w:tabs>
        <w:tab w:val="left" w:pos="900"/>
      </w:tabs>
      <w:suppressAutoHyphens/>
      <w:autoSpaceDE w:val="0"/>
      <w:autoSpaceDN w:val="0"/>
      <w:snapToGrid w:val="0"/>
      <w:spacing w:line="500" w:lineRule="exact"/>
      <w:ind w:left="640" w:hanging="480"/>
      <w:textAlignment w:val="baseline"/>
    </w:pPr>
    <w:rPr>
      <w:rFonts w:ascii="標楷體" w:hAnsi="標楷體"/>
      <w:b/>
      <w:bCs/>
      <w:kern w:val="0"/>
    </w:rPr>
  </w:style>
  <w:style w:type="character" w:customStyle="1" w:styleId="affc">
    <w:name w:val="註解主旨 字元"/>
    <w:link w:val="affb"/>
    <w:rsid w:val="00A52886"/>
    <w:rPr>
      <w:rFonts w:ascii="標楷體" w:eastAsia="標楷體" w:hAnsi="標楷體" w:cs="Times New Roman"/>
      <w:b/>
      <w:bCs/>
      <w:kern w:val="0"/>
      <w:sz w:val="32"/>
      <w:szCs w:val="32"/>
    </w:rPr>
  </w:style>
  <w:style w:type="paragraph" w:customStyle="1" w:styleId="affd">
    <w:name w:val="字元 字元 字元"/>
    <w:basedOn w:val="a3"/>
    <w:rsid w:val="00A52886"/>
    <w:pPr>
      <w:widowControl/>
      <w:suppressAutoHyphens/>
      <w:autoSpaceDN w:val="0"/>
      <w:spacing w:after="160" w:line="240" w:lineRule="exact"/>
      <w:ind w:hanging="359"/>
      <w:textAlignment w:val="baseline"/>
    </w:pPr>
    <w:rPr>
      <w:rFonts w:ascii="Tahoma" w:hAnsi="Tahoma" w:cs="標楷體"/>
      <w:kern w:val="0"/>
      <w:sz w:val="20"/>
      <w:szCs w:val="20"/>
      <w:lang w:eastAsia="en-US"/>
    </w:rPr>
  </w:style>
  <w:style w:type="paragraph" w:customStyle="1" w:styleId="affe">
    <w:name w:val="公文(共用樣式)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sz w:val="24"/>
      <w:lang w:bidi="he-IL"/>
    </w:rPr>
  </w:style>
  <w:style w:type="paragraph" w:customStyle="1" w:styleId="afff">
    <w:name w:val="行文單位正本"/>
    <w:basedOn w:val="a3"/>
    <w:rsid w:val="00A52886"/>
    <w:pPr>
      <w:suppressAutoHyphens/>
      <w:autoSpaceDN w:val="0"/>
      <w:snapToGrid w:val="0"/>
      <w:ind w:left="851" w:hanging="851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ff0">
    <w:name w:val="Strong"/>
    <w:uiPriority w:val="99"/>
    <w:qFormat/>
    <w:rsid w:val="00A52886"/>
    <w:rPr>
      <w:b/>
      <w:bCs/>
    </w:rPr>
  </w:style>
  <w:style w:type="paragraph" w:customStyle="1" w:styleId="afff1">
    <w:name w:val="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eastAsia="Times New Roman" w:hAnsi="Tahoma" w:cs="Times New Roman"/>
      <w:kern w:val="0"/>
      <w:sz w:val="20"/>
      <w:szCs w:val="20"/>
      <w:lang w:eastAsia="en-US"/>
    </w:rPr>
  </w:style>
  <w:style w:type="paragraph" w:customStyle="1" w:styleId="18">
    <w:name w:val="樣式1"/>
    <w:basedOn w:val="a3"/>
    <w:rsid w:val="00A52886"/>
    <w:pPr>
      <w:suppressAutoHyphens/>
      <w:autoSpaceDN w:val="0"/>
      <w:spacing w:line="520" w:lineRule="exact"/>
      <w:ind w:firstLine="641"/>
      <w:textAlignment w:val="baseline"/>
    </w:pPr>
    <w:rPr>
      <w:rFonts w:ascii="Times New Roman" w:eastAsia="標楷體" w:hAnsi="Times New Roman" w:cs="Times New Roman"/>
      <w:kern w:val="3"/>
      <w:sz w:val="32"/>
      <w:szCs w:val="24"/>
    </w:rPr>
  </w:style>
  <w:style w:type="paragraph" w:customStyle="1" w:styleId="afff2">
    <w:name w:val="(一)"/>
    <w:basedOn w:val="a3"/>
    <w:link w:val="afff3"/>
    <w:uiPriority w:val="99"/>
    <w:rsid w:val="00A52886"/>
    <w:pPr>
      <w:suppressAutoHyphens/>
      <w:autoSpaceDN w:val="0"/>
      <w:spacing w:line="348" w:lineRule="auto"/>
      <w:ind w:left="84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style71">
    <w:name w:val="style71"/>
    <w:rsid w:val="00A52886"/>
    <w:rPr>
      <w:sz w:val="27"/>
      <w:szCs w:val="27"/>
    </w:rPr>
  </w:style>
  <w:style w:type="paragraph" w:customStyle="1" w:styleId="19">
    <w:name w:val="字元 字元1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style861">
    <w:name w:val="style861"/>
    <w:basedOn w:val="a4"/>
    <w:rsid w:val="00A52886"/>
  </w:style>
  <w:style w:type="paragraph" w:customStyle="1" w:styleId="-">
    <w:name w:val="一-內文"/>
    <w:basedOn w:val="a3"/>
    <w:uiPriority w:val="99"/>
    <w:rsid w:val="00A52886"/>
    <w:pPr>
      <w:suppressAutoHyphens/>
      <w:autoSpaceDN w:val="0"/>
      <w:snapToGrid w:val="0"/>
      <w:spacing w:line="674" w:lineRule="exact"/>
      <w:ind w:left="1282"/>
      <w:jc w:val="both"/>
      <w:textAlignment w:val="baseline"/>
    </w:pPr>
    <w:rPr>
      <w:rFonts w:ascii="標楷體" w:eastAsia="標楷體" w:hAnsi="標楷體" w:cs="Times New Roman"/>
      <w:bCs/>
      <w:kern w:val="3"/>
      <w:sz w:val="40"/>
      <w:szCs w:val="28"/>
    </w:rPr>
  </w:style>
  <w:style w:type="paragraph" w:customStyle="1" w:styleId="afff4">
    <w:name w:val="出席單位"/>
    <w:basedOn w:val="a3"/>
    <w:rsid w:val="00A52886"/>
    <w:pPr>
      <w:suppressAutoHyphens/>
      <w:wordWrap w:val="0"/>
      <w:autoSpaceDN w:val="0"/>
      <w:snapToGrid w:val="0"/>
      <w:ind w:left="1134" w:hanging="1134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1a">
    <w:name w:val="1 字元"/>
    <w:basedOn w:val="a3"/>
    <w:rsid w:val="00A52886"/>
    <w:pPr>
      <w:widowControl/>
      <w:tabs>
        <w:tab w:val="left" w:pos="360"/>
        <w:tab w:val="left" w:pos="540"/>
        <w:tab w:val="left" w:pos="900"/>
      </w:tabs>
      <w:suppressAutoHyphens/>
      <w:autoSpaceDE w:val="0"/>
      <w:autoSpaceDN w:val="0"/>
      <w:snapToGrid w:val="0"/>
      <w:spacing w:after="160" w:line="240" w:lineRule="exact"/>
      <w:ind w:right="363"/>
      <w:jc w:val="both"/>
      <w:textAlignment w:val="baseline"/>
    </w:pPr>
    <w:rPr>
      <w:rFonts w:ascii="Tahoma" w:eastAsia="標楷體" w:hAnsi="Tahoma" w:cs="Arial"/>
      <w:color w:val="333333"/>
      <w:kern w:val="0"/>
      <w:sz w:val="20"/>
      <w:szCs w:val="20"/>
      <w:lang w:eastAsia="en-US"/>
    </w:rPr>
  </w:style>
  <w:style w:type="character" w:customStyle="1" w:styleId="subjectclassname1">
    <w:name w:val="subjectclassname1"/>
    <w:rsid w:val="00A52886"/>
    <w:rPr>
      <w:sz w:val="15"/>
      <w:szCs w:val="15"/>
    </w:rPr>
  </w:style>
  <w:style w:type="paragraph" w:customStyle="1" w:styleId="1b">
    <w:name w:val="表左1."/>
    <w:basedOn w:val="a3"/>
    <w:rsid w:val="00A52886"/>
    <w:pPr>
      <w:suppressAutoHyphens/>
      <w:autoSpaceDN w:val="0"/>
      <w:spacing w:line="283" w:lineRule="exact"/>
      <w:ind w:left="241" w:right="31" w:hanging="210"/>
      <w:jc w:val="both"/>
      <w:textAlignment w:val="baseline"/>
    </w:pPr>
    <w:rPr>
      <w:rFonts w:ascii="Times New Roman" w:hAnsi="Times New Roman" w:cs="Times New Roman"/>
      <w:kern w:val="3"/>
      <w:sz w:val="21"/>
      <w:szCs w:val="24"/>
    </w:rPr>
  </w:style>
  <w:style w:type="paragraph" w:customStyle="1" w:styleId="afff5">
    <w:name w:val="字元 字元 字元 字元 字元 字元 字元 字元 字元 字元 字元 字元 字元"/>
    <w:basedOn w:val="a3"/>
    <w:uiPriority w:val="99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4"/>
    <w:rsid w:val="00A52886"/>
  </w:style>
  <w:style w:type="paragraph" w:customStyle="1" w:styleId="1c">
    <w:name w:val="1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c16">
    <w:name w:val="c16"/>
    <w:basedOn w:val="a3"/>
    <w:rsid w:val="00A52886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unnamed11">
    <w:name w:val="unnamed11"/>
    <w:rsid w:val="00A52886"/>
    <w:rPr>
      <w:color w:val="666666"/>
      <w:sz w:val="24"/>
      <w:szCs w:val="24"/>
    </w:rPr>
  </w:style>
  <w:style w:type="paragraph" w:customStyle="1" w:styleId="afff6">
    <w:name w:val="本文 + 標楷體"/>
    <w:basedOn w:val="a3"/>
    <w:rsid w:val="00A52886"/>
    <w:pPr>
      <w:suppressAutoHyphens/>
      <w:autoSpaceDN w:val="0"/>
      <w:ind w:left="820" w:hanging="280"/>
      <w:textAlignment w:val="baseline"/>
    </w:pPr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textsize1">
    <w:name w:val="textsize1"/>
    <w:rsid w:val="00A52886"/>
    <w:rPr>
      <w:sz w:val="21"/>
      <w:szCs w:val="21"/>
    </w:rPr>
  </w:style>
  <w:style w:type="paragraph" w:customStyle="1" w:styleId="1d">
    <w:name w:val="1."/>
    <w:basedOn w:val="a3"/>
    <w:uiPriority w:val="99"/>
    <w:rsid w:val="00A52886"/>
    <w:pPr>
      <w:suppressAutoHyphens/>
      <w:autoSpaceDN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華康楷書體W5" w:cs="Times New Roman"/>
      <w:kern w:val="0"/>
      <w:sz w:val="32"/>
      <w:szCs w:val="20"/>
    </w:rPr>
  </w:style>
  <w:style w:type="character" w:customStyle="1" w:styleId="1e">
    <w:name w:val="1. 字元"/>
    <w:rsid w:val="00A52886"/>
    <w:rPr>
      <w:rFonts w:ascii="華康楷書體W5" w:eastAsia="華康楷書體W5" w:hAnsi="華康楷書體W5"/>
      <w:sz w:val="32"/>
      <w:lang w:val="en-US" w:eastAsia="zh-TW" w:bidi="ar-SA"/>
    </w:rPr>
  </w:style>
  <w:style w:type="paragraph" w:customStyle="1" w:styleId="1f">
    <w:name w:val="(1)"/>
    <w:basedOn w:val="a3"/>
    <w:uiPriority w:val="99"/>
    <w:rsid w:val="00A52886"/>
    <w:pPr>
      <w:suppressAutoHyphens/>
      <w:autoSpaceDN w:val="0"/>
      <w:spacing w:line="400" w:lineRule="exact"/>
      <w:ind w:left="550" w:hanging="25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character" w:customStyle="1" w:styleId="1f0">
    <w:name w:val="(1) 字元"/>
    <w:rsid w:val="00A52886"/>
    <w:rPr>
      <w:rFonts w:eastAsia="標楷體"/>
      <w:kern w:val="3"/>
      <w:sz w:val="28"/>
      <w:szCs w:val="24"/>
      <w:lang w:val="en-US" w:eastAsia="zh-TW" w:bidi="ar-SA"/>
    </w:rPr>
  </w:style>
  <w:style w:type="paragraph" w:customStyle="1" w:styleId="0001">
    <w:name w:val="0001.正確二行標題"/>
    <w:basedOn w:val="a3"/>
    <w:link w:val="00010"/>
    <w:rsid w:val="00A52886"/>
    <w:pPr>
      <w:suppressAutoHyphens/>
      <w:autoSpaceDN w:val="0"/>
      <w:snapToGrid w:val="0"/>
      <w:ind w:hanging="362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styleId="afff7">
    <w:name w:val="Closing"/>
    <w:basedOn w:val="a3"/>
    <w:link w:val="afff8"/>
    <w:rsid w:val="00A52886"/>
    <w:pPr>
      <w:suppressAutoHyphens/>
      <w:autoSpaceDN w:val="0"/>
      <w:ind w:left="10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  <w:style w:type="character" w:customStyle="1" w:styleId="afff8">
    <w:name w:val="結語 字元"/>
    <w:link w:val="afff7"/>
    <w:rsid w:val="00A52886"/>
    <w:rPr>
      <w:rFonts w:ascii="標楷體" w:eastAsia="標楷體" w:hAnsi="標楷體" w:cs="Times New Roman"/>
      <w:color w:val="000000"/>
      <w:kern w:val="3"/>
      <w:sz w:val="28"/>
      <w:szCs w:val="28"/>
    </w:rPr>
  </w:style>
  <w:style w:type="paragraph" w:customStyle="1" w:styleId="afff9">
    <w:name w:val="分項段落"/>
    <w:basedOn w:val="a3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1f1">
    <w:name w:val="字元1 字元 字元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f2">
    <w:name w:val="1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71">
    <w:name w:val="字元 字元7"/>
    <w:rsid w:val="00A52886"/>
    <w:rPr>
      <w:rFonts w:ascii="新細明體" w:eastAsia="新細明體" w:hAnsi="新細明體"/>
      <w:b/>
      <w:sz w:val="24"/>
      <w:lang w:val="en-US" w:eastAsia="zh-TW" w:bidi="ar-SA"/>
    </w:rPr>
  </w:style>
  <w:style w:type="paragraph" w:customStyle="1" w:styleId="1f3">
    <w:name w:val="字元 字元 字元 字元 字元 字元 字元 字元 字元1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fa">
    <w:name w:val="(一)標題"/>
    <w:basedOn w:val="a3"/>
    <w:rsid w:val="00A52886"/>
    <w:pPr>
      <w:suppressAutoHyphens/>
      <w:autoSpaceDN w:val="0"/>
      <w:snapToGrid w:val="0"/>
      <w:ind w:firstLine="673"/>
      <w:jc w:val="both"/>
      <w:textAlignment w:val="baseline"/>
      <w:outlineLvl w:val="1"/>
    </w:pPr>
    <w:rPr>
      <w:rFonts w:ascii="標楷體" w:eastAsia="標楷體" w:hAnsi="標楷體" w:cs="Times New Roman"/>
      <w:b/>
      <w:color w:val="FF0000"/>
      <w:kern w:val="3"/>
      <w:sz w:val="32"/>
      <w:szCs w:val="32"/>
    </w:rPr>
  </w:style>
  <w:style w:type="paragraph" w:customStyle="1" w:styleId="1f4">
    <w:name w:val="1.大遼內文"/>
    <w:basedOn w:val="a3"/>
    <w:rsid w:val="00A52886"/>
    <w:pPr>
      <w:suppressAutoHyphens/>
      <w:autoSpaceDN w:val="0"/>
      <w:snapToGrid w:val="0"/>
      <w:ind w:left="1620" w:firstLine="608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5">
    <w:name w:val="1.大遼內文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paragraph" w:customStyle="1" w:styleId="1f6">
    <w:name w:val="(1)第一標題"/>
    <w:basedOn w:val="a3"/>
    <w:rsid w:val="00A52886"/>
    <w:pPr>
      <w:suppressAutoHyphens/>
      <w:autoSpaceDN w:val="0"/>
      <w:snapToGrid w:val="0"/>
      <w:ind w:left="2158" w:hanging="540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7">
    <w:name w:val="(1)第一標題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character" w:customStyle="1" w:styleId="afffb">
    <w:name w:val="(一)標題 字元"/>
    <w:rsid w:val="00A52886"/>
    <w:rPr>
      <w:rFonts w:ascii="標楷體" w:eastAsia="標楷體" w:hAnsi="標楷體"/>
      <w:b/>
      <w:color w:val="FF0000"/>
      <w:kern w:val="3"/>
      <w:sz w:val="32"/>
      <w:szCs w:val="32"/>
      <w:lang w:val="en-US" w:eastAsia="zh-TW" w:bidi="ar-SA"/>
    </w:rPr>
  </w:style>
  <w:style w:type="character" w:styleId="afffc">
    <w:name w:val="annotation reference"/>
    <w:rsid w:val="00A52886"/>
    <w:rPr>
      <w:sz w:val="18"/>
      <w:szCs w:val="18"/>
    </w:rPr>
  </w:style>
  <w:style w:type="character" w:customStyle="1" w:styleId="dialogtext1">
    <w:name w:val="dialog_text1"/>
    <w:rsid w:val="00A52886"/>
    <w:rPr>
      <w:rFonts w:ascii="sөũ" w:hAnsi="sөũ"/>
      <w:color w:val="000000"/>
      <w:sz w:val="24"/>
      <w:szCs w:val="24"/>
    </w:rPr>
  </w:style>
  <w:style w:type="character" w:customStyle="1" w:styleId="NormalWebChar">
    <w:name w:val="Normal (Web) Char"/>
    <w:rsid w:val="00A52886"/>
    <w:rPr>
      <w:rFonts w:ascii="新細明體" w:eastAsia="細明體" w:hAnsi="新細明體"/>
      <w:sz w:val="24"/>
      <w:lang w:val="en-US" w:eastAsia="zh-TW" w:bidi="ar-SA"/>
    </w:rPr>
  </w:style>
  <w:style w:type="paragraph" w:customStyle="1" w:styleId="01">
    <w:name w:val="01.內文"/>
    <w:basedOn w:val="a3"/>
    <w:rsid w:val="00A52886"/>
    <w:pPr>
      <w:suppressAutoHyphens/>
      <w:autoSpaceDN w:val="0"/>
      <w:snapToGrid w:val="0"/>
      <w:ind w:left="1680" w:firstLine="640"/>
      <w:jc w:val="both"/>
      <w:textAlignment w:val="baseline"/>
    </w:pPr>
    <w:rPr>
      <w:rFonts w:ascii="標楷體" w:eastAsia="標楷體" w:hAnsi="標楷體" w:cs="Times New Roman"/>
      <w:color w:val="0000FF"/>
      <w:kern w:val="3"/>
      <w:sz w:val="32"/>
      <w:szCs w:val="32"/>
    </w:rPr>
  </w:style>
  <w:style w:type="paragraph" w:customStyle="1" w:styleId="a00">
    <w:name w:val="a00標"/>
    <w:basedOn w:val="a3"/>
    <w:rsid w:val="00A52886"/>
    <w:pPr>
      <w:suppressAutoHyphens/>
      <w:autoSpaceDN w:val="0"/>
      <w:snapToGrid w:val="0"/>
      <w:ind w:left="2480" w:hanging="320"/>
      <w:jc w:val="both"/>
      <w:textAlignment w:val="baseline"/>
    </w:pPr>
    <w:rPr>
      <w:rFonts w:ascii="標楷體" w:eastAsia="標楷體" w:hAnsi="標楷體" w:cs="MS Mincho"/>
      <w:color w:val="0000FF"/>
      <w:kern w:val="3"/>
      <w:sz w:val="32"/>
      <w:szCs w:val="32"/>
    </w:rPr>
  </w:style>
  <w:style w:type="paragraph" w:styleId="Web">
    <w:name w:val="Normal (Web)"/>
    <w:basedOn w:val="a3"/>
    <w:uiPriority w:val="99"/>
    <w:rsid w:val="00A52886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Cs w:val="24"/>
    </w:rPr>
  </w:style>
  <w:style w:type="character" w:customStyle="1" w:styleId="010">
    <w:name w:val="01.內文 字元"/>
    <w:rsid w:val="00A52886"/>
    <w:rPr>
      <w:rFonts w:ascii="標楷體" w:eastAsia="標楷體" w:hAnsi="標楷體"/>
      <w:color w:val="0000FF"/>
      <w:kern w:val="3"/>
      <w:sz w:val="32"/>
      <w:szCs w:val="32"/>
    </w:rPr>
  </w:style>
  <w:style w:type="paragraph" w:customStyle="1" w:styleId="tab42">
    <w:name w:val="_tab42一"/>
    <w:basedOn w:val="a3"/>
    <w:rsid w:val="00A52886"/>
    <w:pPr>
      <w:spacing w:line="320" w:lineRule="exact"/>
      <w:ind w:left="200" w:hangingChars="200" w:hanging="200"/>
      <w:jc w:val="both"/>
    </w:pPr>
    <w:rPr>
      <w:rFonts w:ascii="Times New Roman" w:eastAsia="標楷體" w:hAnsi="Times New Roman" w:cs="Times New Roman"/>
      <w:color w:val="993300"/>
      <w:sz w:val="32"/>
      <w:szCs w:val="24"/>
    </w:rPr>
  </w:style>
  <w:style w:type="character" w:customStyle="1" w:styleId="afe">
    <w:name w:val="清單段落 字元"/>
    <w:aliases w:val="標題 (4) 字元,List Paragraph 字元,1.1.1.1清單段落 字元,列點 字元"/>
    <w:link w:val="15"/>
    <w:locked/>
    <w:rsid w:val="00A52886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A52886"/>
    <w:pPr>
      <w:widowControl w:val="0"/>
      <w:autoSpaceDE w:val="0"/>
      <w:autoSpaceDN w:val="0"/>
      <w:adjustRightInd w:val="0"/>
    </w:pPr>
    <w:rPr>
      <w:rFonts w:ascii="DFYuanBold-B5" w:eastAsia="DFYuanBold-B5" w:cs="DFYuanBold-B5"/>
      <w:color w:val="000000"/>
      <w:sz w:val="24"/>
      <w:szCs w:val="24"/>
    </w:rPr>
  </w:style>
  <w:style w:type="paragraph" w:customStyle="1" w:styleId="Afffd">
    <w:name w:val="內文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A0">
    <w:name w:val="內文 A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fffe">
    <w:name w:val="二、"/>
    <w:basedOn w:val="a3"/>
    <w:rsid w:val="00A52886"/>
    <w:pPr>
      <w:spacing w:line="360" w:lineRule="exact"/>
      <w:ind w:leftChars="-100" w:left="-240"/>
      <w:jc w:val="both"/>
    </w:pPr>
    <w:rPr>
      <w:rFonts w:ascii="文鼎粗黑" w:eastAsia="文鼎粗黑" w:hAnsi="標楷體" w:cs="Times New Roman"/>
      <w:spacing w:val="-2"/>
      <w:sz w:val="28"/>
      <w:szCs w:val="28"/>
    </w:rPr>
  </w:style>
  <w:style w:type="paragraph" w:customStyle="1" w:styleId="25">
    <w:name w:val="2."/>
    <w:basedOn w:val="aff0"/>
    <w:link w:val="26"/>
    <w:rsid w:val="00A52886"/>
    <w:pPr>
      <w:adjustRightInd w:val="0"/>
      <w:snapToGrid w:val="0"/>
      <w:spacing w:line="360" w:lineRule="exact"/>
      <w:ind w:leftChars="200" w:left="701" w:hangingChars="80" w:hanging="221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26">
    <w:name w:val="2. 字元"/>
    <w:link w:val="25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">
    <w:name w:val="(二)"/>
    <w:basedOn w:val="a3"/>
    <w:link w:val="affff0"/>
    <w:rsid w:val="00A52886"/>
    <w:pPr>
      <w:spacing w:line="360" w:lineRule="exact"/>
      <w:ind w:left="497" w:hangingChars="180" w:hanging="497"/>
      <w:jc w:val="both"/>
    </w:pPr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affff1">
    <w:name w:val="(二)內文"/>
    <w:basedOn w:val="aff0"/>
    <w:link w:val="affff2"/>
    <w:rsid w:val="00A52886"/>
    <w:pPr>
      <w:adjustRightInd w:val="0"/>
      <w:snapToGrid w:val="0"/>
      <w:spacing w:line="360" w:lineRule="exact"/>
      <w:ind w:leftChars="200" w:left="480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affff2">
    <w:name w:val="(二)內文 字元"/>
    <w:link w:val="affff1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102">
    <w:name w:val="10."/>
    <w:basedOn w:val="25"/>
    <w:rsid w:val="00A52886"/>
    <w:pPr>
      <w:ind w:left="839" w:hangingChars="130" w:hanging="359"/>
    </w:pPr>
  </w:style>
  <w:style w:type="paragraph" w:customStyle="1" w:styleId="affff3">
    <w:name w:val="(二) + 非粗體"/>
    <w:aliases w:val="左:  0 cm,凸出:  2.8 字十一、細"/>
    <w:basedOn w:val="affff"/>
    <w:rsid w:val="00A52886"/>
    <w:pPr>
      <w:ind w:left="773" w:hangingChars="280" w:hanging="773"/>
    </w:pPr>
    <w:rPr>
      <w:b w:val="0"/>
    </w:rPr>
  </w:style>
  <w:style w:type="paragraph" w:customStyle="1" w:styleId="affff4">
    <w:name w:val="_摘(一)"/>
    <w:basedOn w:val="a3"/>
    <w:rsid w:val="00A52886"/>
    <w:pPr>
      <w:adjustRightInd w:val="0"/>
      <w:snapToGrid w:val="0"/>
      <w:spacing w:line="480" w:lineRule="exact"/>
      <w:ind w:leftChars="385" w:left="1485" w:hangingChars="175" w:hanging="561"/>
      <w:jc w:val="both"/>
    </w:pPr>
    <w:rPr>
      <w:rFonts w:ascii="Times New Roman" w:eastAsia="標楷體" w:hAnsi="Times New Roman" w:cs="Times New Roman"/>
      <w:b/>
      <w:bCs/>
      <w:color w:val="008000"/>
      <w:sz w:val="32"/>
      <w:szCs w:val="28"/>
    </w:rPr>
  </w:style>
  <w:style w:type="paragraph" w:customStyle="1" w:styleId="27">
    <w:name w:val="(2)"/>
    <w:basedOn w:val="25"/>
    <w:link w:val="28"/>
    <w:rsid w:val="00A52886"/>
    <w:pPr>
      <w:ind w:leftChars="300" w:left="1079" w:hangingChars="130" w:hanging="359"/>
    </w:pPr>
    <w:rPr>
      <w:kern w:val="0"/>
    </w:rPr>
  </w:style>
  <w:style w:type="paragraph" w:customStyle="1" w:styleId="29">
    <w:name w:val="2.內文"/>
    <w:basedOn w:val="25"/>
    <w:link w:val="2a"/>
    <w:rsid w:val="00A52886"/>
    <w:pPr>
      <w:ind w:leftChars="292" w:left="292" w:firstLineChars="0" w:firstLine="0"/>
    </w:pPr>
  </w:style>
  <w:style w:type="character" w:customStyle="1" w:styleId="2a">
    <w:name w:val="2.內文 字元"/>
    <w:link w:val="29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5">
    <w:name w:val="_摘(一)內"/>
    <w:basedOn w:val="a3"/>
    <w:rsid w:val="00A52886"/>
    <w:pPr>
      <w:adjustRightInd w:val="0"/>
      <w:snapToGrid w:val="0"/>
      <w:spacing w:line="480" w:lineRule="exact"/>
      <w:ind w:leftChars="600" w:left="1440"/>
      <w:jc w:val="both"/>
    </w:pPr>
    <w:rPr>
      <w:rFonts w:ascii="Times New Roman" w:eastAsia="標楷體" w:hAnsi="Times New Roman" w:cs="Times New Roman"/>
      <w:color w:val="993366"/>
      <w:sz w:val="32"/>
      <w:szCs w:val="28"/>
    </w:rPr>
  </w:style>
  <w:style w:type="paragraph" w:customStyle="1" w:styleId="affff6">
    <w:name w:val="附錄文"/>
    <w:basedOn w:val="a3"/>
    <w:rsid w:val="00A52886"/>
    <w:pPr>
      <w:autoSpaceDE w:val="0"/>
      <w:autoSpaceDN w:val="0"/>
      <w:adjustRightInd w:val="0"/>
      <w:spacing w:line="220" w:lineRule="atLeast"/>
      <w:ind w:firstLine="397"/>
      <w:jc w:val="both"/>
      <w:textAlignment w:val="center"/>
    </w:pPr>
    <w:rPr>
      <w:rFonts w:ascii="華康中明體" w:eastAsia="華康中明體" w:hAnsi="Times New Roman" w:cs="華康中明體"/>
      <w:color w:val="002050"/>
      <w:w w:val="105"/>
      <w:kern w:val="0"/>
      <w:sz w:val="18"/>
      <w:szCs w:val="18"/>
      <w:lang w:val="zh-TW"/>
    </w:rPr>
  </w:style>
  <w:style w:type="paragraph" w:styleId="affff7">
    <w:name w:val="Subtitle"/>
    <w:basedOn w:val="a3"/>
    <w:next w:val="a3"/>
    <w:link w:val="affff8"/>
    <w:uiPriority w:val="99"/>
    <w:qFormat/>
    <w:rsid w:val="00A52886"/>
    <w:pPr>
      <w:spacing w:after="60"/>
      <w:jc w:val="center"/>
      <w:outlineLvl w:val="1"/>
    </w:pPr>
    <w:rPr>
      <w:rFonts w:ascii="Cambria" w:hAnsi="Cambria" w:cs="Times New Roman"/>
      <w:i/>
      <w:iCs/>
      <w:szCs w:val="24"/>
    </w:rPr>
  </w:style>
  <w:style w:type="character" w:customStyle="1" w:styleId="affff8">
    <w:name w:val="副標題 字元"/>
    <w:link w:val="affff7"/>
    <w:uiPriority w:val="99"/>
    <w:rsid w:val="00A52886"/>
    <w:rPr>
      <w:rFonts w:ascii="Cambria" w:eastAsia="新細明體" w:hAnsi="Cambria" w:cs="Times New Roman"/>
      <w:i/>
      <w:iCs/>
      <w:szCs w:val="24"/>
    </w:rPr>
  </w:style>
  <w:style w:type="character" w:customStyle="1" w:styleId="afff3">
    <w:name w:val="(一) 字元"/>
    <w:link w:val="afff2"/>
    <w:uiPriority w:val="99"/>
    <w:locked/>
    <w:rsid w:val="00A52886"/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00010">
    <w:name w:val="0001.正確二行標題 字元"/>
    <w:link w:val="0001"/>
    <w:rsid w:val="00A52886"/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customStyle="1" w:styleId="1f8">
    <w:name w:val="(1)內文"/>
    <w:basedOn w:val="a3"/>
    <w:link w:val="1f9"/>
    <w:rsid w:val="00A52886"/>
    <w:pPr>
      <w:snapToGrid w:val="0"/>
      <w:ind w:leftChars="870" w:left="2088" w:firstLine="652"/>
      <w:jc w:val="both"/>
    </w:pPr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character" w:customStyle="1" w:styleId="1f9">
    <w:name w:val="(1)內文 字元"/>
    <w:link w:val="1f8"/>
    <w:rsid w:val="00A52886"/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paragraph" w:customStyle="1" w:styleId="affff9">
    <w:name w:val="一"/>
    <w:basedOn w:val="a3"/>
    <w:uiPriority w:val="99"/>
    <w:rsid w:val="00A52886"/>
    <w:pPr>
      <w:adjustRightInd w:val="0"/>
      <w:snapToGrid w:val="0"/>
      <w:spacing w:line="404" w:lineRule="exact"/>
      <w:jc w:val="both"/>
    </w:pPr>
    <w:rPr>
      <w:rFonts w:ascii="標楷體" w:eastAsia="中國龍粗黑體" w:hAnsi="標楷體" w:cs="Times New Roman"/>
      <w:sz w:val="28"/>
      <w:szCs w:val="32"/>
    </w:rPr>
  </w:style>
  <w:style w:type="paragraph" w:customStyle="1" w:styleId="affffa">
    <w:name w:val="主文"/>
    <w:basedOn w:val="a3"/>
    <w:rsid w:val="00A52886"/>
    <w:pPr>
      <w:spacing w:beforeLines="50" w:afterLines="50" w:line="400" w:lineRule="exact"/>
      <w:ind w:firstLineChars="200" w:firstLine="520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st1">
    <w:name w:val="st1"/>
    <w:basedOn w:val="a4"/>
    <w:rsid w:val="00A52886"/>
  </w:style>
  <w:style w:type="character" w:customStyle="1" w:styleId="ap20">
    <w:name w:val="ap20"/>
    <w:basedOn w:val="a4"/>
    <w:rsid w:val="00A52886"/>
  </w:style>
  <w:style w:type="paragraph" w:customStyle="1" w:styleId="1fa">
    <w:name w:val="_摘1"/>
    <w:basedOn w:val="a3"/>
    <w:rsid w:val="00A52886"/>
    <w:pPr>
      <w:widowControl/>
      <w:spacing w:line="480" w:lineRule="exact"/>
      <w:ind w:leftChars="600" w:left="1680" w:hangingChars="75" w:hanging="240"/>
      <w:jc w:val="both"/>
    </w:pPr>
    <w:rPr>
      <w:rFonts w:ascii="Times New Roman" w:eastAsia="標楷體" w:hAnsi="Times New Roman" w:cs="Times New Roman"/>
      <w:color w:val="008080"/>
      <w:kern w:val="0"/>
      <w:sz w:val="32"/>
      <w:szCs w:val="24"/>
    </w:rPr>
  </w:style>
  <w:style w:type="paragraph" w:customStyle="1" w:styleId="1fb">
    <w:name w:val="1.內文"/>
    <w:basedOn w:val="a3"/>
    <w:rsid w:val="00A52886"/>
    <w:pPr>
      <w:widowControl/>
      <w:ind w:leftChars="817" w:left="2310" w:hangingChars="109" w:hanging="349"/>
      <w:jc w:val="both"/>
    </w:pPr>
    <w:rPr>
      <w:rFonts w:ascii="標楷體" w:eastAsia="標楷體" w:hAnsi="標楷體" w:cs="Times New Roman"/>
      <w:sz w:val="32"/>
      <w:szCs w:val="24"/>
    </w:rPr>
  </w:style>
  <w:style w:type="paragraph" w:customStyle="1" w:styleId="Affffb">
    <w:name w:val="A."/>
    <w:basedOn w:val="1f"/>
    <w:rsid w:val="00A52886"/>
    <w:pPr>
      <w:suppressAutoHyphens w:val="0"/>
      <w:autoSpaceDN/>
      <w:adjustRightInd w:val="0"/>
      <w:snapToGrid w:val="0"/>
      <w:spacing w:line="404" w:lineRule="exact"/>
      <w:ind w:leftChars="550" w:left="0" w:hangingChars="100" w:hanging="100"/>
      <w:textAlignment w:val="auto"/>
    </w:pPr>
    <w:rPr>
      <w:rFonts w:ascii="標楷體" w:hAnsi="標楷體"/>
      <w:kern w:val="2"/>
      <w:szCs w:val="28"/>
    </w:rPr>
  </w:style>
  <w:style w:type="character" w:customStyle="1" w:styleId="st">
    <w:name w:val="st"/>
    <w:basedOn w:val="a4"/>
    <w:rsid w:val="00A52886"/>
  </w:style>
  <w:style w:type="paragraph" w:customStyle="1" w:styleId="1XXXXXX">
    <w:name w:val="1.XXXXXX"/>
    <w:autoRedefine/>
    <w:rsid w:val="00A52886"/>
    <w:pPr>
      <w:spacing w:line="500" w:lineRule="exact"/>
      <w:ind w:leftChars="350" w:left="840"/>
      <w:jc w:val="both"/>
    </w:pPr>
    <w:rPr>
      <w:rFonts w:ascii="Times New Roman" w:eastAsia="標楷體" w:hAnsi="Times New Roman" w:cs="Times New Roman"/>
      <w:kern w:val="2"/>
      <w:sz w:val="32"/>
      <w:szCs w:val="32"/>
    </w:rPr>
  </w:style>
  <w:style w:type="paragraph" w:customStyle="1" w:styleId="affffc">
    <w:name w:val="(一)內文"/>
    <w:basedOn w:val="a3"/>
    <w:link w:val="affffd"/>
    <w:rsid w:val="00A52886"/>
    <w:pPr>
      <w:adjustRightInd w:val="0"/>
      <w:snapToGrid w:val="0"/>
      <w:ind w:leftChars="525" w:left="1260" w:firstLineChars="230" w:firstLine="736"/>
      <w:jc w:val="both"/>
    </w:pPr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character" w:customStyle="1" w:styleId="affffd">
    <w:name w:val="(一)內文 字元"/>
    <w:link w:val="affffc"/>
    <w:rsid w:val="00A52886"/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paragraph" w:styleId="1fc">
    <w:name w:val="toc 1"/>
    <w:basedOn w:val="a3"/>
    <w:next w:val="a3"/>
    <w:autoRedefine/>
    <w:uiPriority w:val="39"/>
    <w:rsid w:val="00A52886"/>
    <w:rPr>
      <w:rFonts w:ascii="Times New Roman" w:hAnsi="Times New Roman" w:cs="Times New Roman"/>
      <w:szCs w:val="24"/>
    </w:rPr>
  </w:style>
  <w:style w:type="paragraph" w:styleId="2b">
    <w:name w:val="toc 2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220"/>
    </w:pPr>
    <w:rPr>
      <w:rFonts w:cs="Times New Roman"/>
      <w:kern w:val="0"/>
      <w:sz w:val="22"/>
    </w:rPr>
  </w:style>
  <w:style w:type="paragraph" w:styleId="33">
    <w:name w:val="toc 3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440"/>
    </w:pPr>
    <w:rPr>
      <w:rFonts w:cs="Times New Roman"/>
      <w:kern w:val="0"/>
      <w:sz w:val="22"/>
    </w:rPr>
  </w:style>
  <w:style w:type="character" w:customStyle="1" w:styleId="eng-name">
    <w:name w:val="eng-name"/>
    <w:rsid w:val="00A52886"/>
  </w:style>
  <w:style w:type="paragraph" w:customStyle="1" w:styleId="affffe">
    <w:name w:val="數字Ａ"/>
    <w:basedOn w:val="a3"/>
    <w:rsid w:val="00A52886"/>
    <w:pPr>
      <w:ind w:leftChars="750" w:left="2520" w:hangingChars="180" w:hanging="720"/>
    </w:pPr>
    <w:rPr>
      <w:rFonts w:ascii="Times New Roman" w:eastAsia="標楷體" w:hAnsi="Times New Roman" w:cs="Times New Roman"/>
      <w:sz w:val="40"/>
      <w:szCs w:val="20"/>
    </w:rPr>
  </w:style>
  <w:style w:type="numbering" w:styleId="111111">
    <w:name w:val="Outline List 2"/>
    <w:basedOn w:val="a6"/>
    <w:semiHidden/>
    <w:rsid w:val="00A52886"/>
    <w:pPr>
      <w:numPr>
        <w:numId w:val="1"/>
      </w:numPr>
    </w:pPr>
  </w:style>
  <w:style w:type="numbering" w:styleId="1ai">
    <w:name w:val="Outline List 1"/>
    <w:basedOn w:val="a6"/>
    <w:semiHidden/>
    <w:rsid w:val="00A52886"/>
    <w:pPr>
      <w:numPr>
        <w:numId w:val="2"/>
      </w:numPr>
    </w:pPr>
  </w:style>
  <w:style w:type="character" w:styleId="HTML1">
    <w:name w:val="HTML Acronym"/>
    <w:basedOn w:val="a4"/>
    <w:semiHidden/>
    <w:rsid w:val="00A52886"/>
  </w:style>
  <w:style w:type="paragraph" w:styleId="HTML2">
    <w:name w:val="HTML Address"/>
    <w:basedOn w:val="a3"/>
    <w:link w:val="HTML3"/>
    <w:semiHidden/>
    <w:rsid w:val="00A52886"/>
    <w:rPr>
      <w:rFonts w:cs="Times New Roman"/>
      <w:i/>
      <w:iCs/>
    </w:rPr>
  </w:style>
  <w:style w:type="character" w:customStyle="1" w:styleId="HTML3">
    <w:name w:val="HTML 位址 字元"/>
    <w:link w:val="HTML2"/>
    <w:semiHidden/>
    <w:rsid w:val="00A52886"/>
    <w:rPr>
      <w:rFonts w:ascii="Calibri" w:eastAsia="新細明體" w:hAnsi="Calibri" w:cs="Times New Roman"/>
      <w:i/>
      <w:iCs/>
    </w:rPr>
  </w:style>
  <w:style w:type="character" w:styleId="HTML4">
    <w:name w:val="HTML Cite"/>
    <w:semiHidden/>
    <w:rsid w:val="00A52886"/>
    <w:rPr>
      <w:i/>
      <w:iCs/>
    </w:rPr>
  </w:style>
  <w:style w:type="character" w:styleId="HTML5">
    <w:name w:val="HTML Code"/>
    <w:semiHidden/>
    <w:rsid w:val="00A52886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A52886"/>
    <w:rPr>
      <w:i/>
      <w:iCs/>
    </w:rPr>
  </w:style>
  <w:style w:type="character" w:styleId="HTML7">
    <w:name w:val="HTML Keyboard"/>
    <w:semiHidden/>
    <w:rsid w:val="00A52886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A52886"/>
    <w:rPr>
      <w:rFonts w:ascii="Courier New" w:hAnsi="Courier New" w:cs="Courier New"/>
    </w:rPr>
  </w:style>
  <w:style w:type="character" w:styleId="HTML9">
    <w:name w:val="HTML Typewriter"/>
    <w:semiHidden/>
    <w:rsid w:val="00A52886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A52886"/>
    <w:rPr>
      <w:i/>
      <w:iCs/>
    </w:rPr>
  </w:style>
  <w:style w:type="character" w:styleId="afffff">
    <w:name w:val="FollowedHyperlink"/>
    <w:uiPriority w:val="99"/>
    <w:semiHidden/>
    <w:rsid w:val="00A52886"/>
    <w:rPr>
      <w:color w:val="800080"/>
      <w:u w:val="single"/>
    </w:rPr>
  </w:style>
  <w:style w:type="paragraph" w:styleId="afffff0">
    <w:name w:val="Normal Indent"/>
    <w:basedOn w:val="a3"/>
    <w:semiHidden/>
    <w:rsid w:val="00A52886"/>
    <w:pPr>
      <w:ind w:leftChars="200" w:left="480"/>
    </w:pPr>
    <w:rPr>
      <w:rFonts w:cs="Times New Roman"/>
    </w:rPr>
  </w:style>
  <w:style w:type="numbering" w:styleId="a2">
    <w:name w:val="Outline List 3"/>
    <w:basedOn w:val="a6"/>
    <w:semiHidden/>
    <w:rsid w:val="00A52886"/>
    <w:pPr>
      <w:numPr>
        <w:numId w:val="3"/>
      </w:numPr>
    </w:pPr>
  </w:style>
  <w:style w:type="paragraph" w:styleId="afffff1">
    <w:name w:val="Date"/>
    <w:basedOn w:val="a3"/>
    <w:next w:val="a3"/>
    <w:link w:val="afffff2"/>
    <w:uiPriority w:val="99"/>
    <w:rsid w:val="00A52886"/>
    <w:pPr>
      <w:jc w:val="right"/>
    </w:pPr>
    <w:rPr>
      <w:rFonts w:cs="Times New Roman"/>
    </w:rPr>
  </w:style>
  <w:style w:type="character" w:customStyle="1" w:styleId="afffff2">
    <w:name w:val="日期 字元"/>
    <w:link w:val="afffff1"/>
    <w:uiPriority w:val="99"/>
    <w:rsid w:val="00A52886"/>
    <w:rPr>
      <w:rFonts w:ascii="Calibri" w:eastAsia="新細明體" w:hAnsi="Calibri" w:cs="Times New Roman"/>
    </w:rPr>
  </w:style>
  <w:style w:type="paragraph" w:styleId="34">
    <w:name w:val="Body Text 3"/>
    <w:basedOn w:val="a3"/>
    <w:link w:val="35"/>
    <w:uiPriority w:val="99"/>
    <w:rsid w:val="00A52886"/>
    <w:pPr>
      <w:spacing w:after="120"/>
    </w:pPr>
    <w:rPr>
      <w:rFonts w:cs="Times New Roman"/>
      <w:sz w:val="16"/>
      <w:szCs w:val="16"/>
    </w:rPr>
  </w:style>
  <w:style w:type="character" w:customStyle="1" w:styleId="35">
    <w:name w:val="本文 3 字元"/>
    <w:link w:val="34"/>
    <w:uiPriority w:val="99"/>
    <w:rsid w:val="00A52886"/>
    <w:rPr>
      <w:rFonts w:ascii="Calibri" w:eastAsia="新細明體" w:hAnsi="Calibri" w:cs="Times New Roman"/>
      <w:sz w:val="16"/>
      <w:szCs w:val="16"/>
    </w:rPr>
  </w:style>
  <w:style w:type="paragraph" w:styleId="afffff3">
    <w:name w:val="Body Text First Indent"/>
    <w:basedOn w:val="ab"/>
    <w:link w:val="afffff4"/>
    <w:rsid w:val="00A52886"/>
    <w:pPr>
      <w:spacing w:after="120"/>
      <w:ind w:firstLineChars="100" w:firstLine="210"/>
    </w:pPr>
    <w:rPr>
      <w:rFonts w:ascii="Calibri" w:eastAsia="新細明體" w:hAnsi="Calibri"/>
      <w:sz w:val="24"/>
      <w:szCs w:val="22"/>
    </w:rPr>
  </w:style>
  <w:style w:type="character" w:customStyle="1" w:styleId="afffff4">
    <w:name w:val="本文第一層縮排 字元"/>
    <w:link w:val="afffff3"/>
    <w:rsid w:val="00A52886"/>
    <w:rPr>
      <w:rFonts w:ascii="Calibri" w:eastAsia="新細明體" w:hAnsi="Calibri" w:cs="Times New Roman"/>
    </w:rPr>
  </w:style>
  <w:style w:type="character" w:customStyle="1" w:styleId="13">
    <w:name w:val="本文 字元1"/>
    <w:link w:val="ab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paragraph" w:styleId="2c">
    <w:name w:val="Body Text First Indent 2"/>
    <w:basedOn w:val="a9"/>
    <w:link w:val="2d"/>
    <w:semiHidden/>
    <w:rsid w:val="00A52886"/>
    <w:pPr>
      <w:spacing w:after="120" w:line="240" w:lineRule="auto"/>
      <w:ind w:leftChars="200" w:left="480" w:firstLine="210"/>
    </w:pPr>
    <w:rPr>
      <w:rFonts w:ascii="Calibri" w:eastAsia="新細明體" w:hAnsi="Calibri"/>
      <w:sz w:val="24"/>
      <w:szCs w:val="22"/>
    </w:rPr>
  </w:style>
  <w:style w:type="character" w:customStyle="1" w:styleId="2d">
    <w:name w:val="本文第一層縮排 2 字元"/>
    <w:link w:val="2c"/>
    <w:semiHidden/>
    <w:rsid w:val="00A52886"/>
    <w:rPr>
      <w:rFonts w:ascii="Calibri" w:eastAsia="新細明體" w:hAnsi="Calibri" w:cs="Times New Roman"/>
      <w:sz w:val="32"/>
      <w:szCs w:val="24"/>
    </w:rPr>
  </w:style>
  <w:style w:type="paragraph" w:styleId="afffff5">
    <w:name w:val="envelope address"/>
    <w:basedOn w:val="a3"/>
    <w:semiHidden/>
    <w:rsid w:val="00A5288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character" w:styleId="afffff6">
    <w:name w:val="line number"/>
    <w:basedOn w:val="a4"/>
    <w:semiHidden/>
    <w:rsid w:val="00A52886"/>
  </w:style>
  <w:style w:type="table" w:styleId="3D1">
    <w:name w:val="Table 3D effects 1"/>
    <w:basedOn w:val="a5"/>
    <w:semiHidden/>
    <w:rsid w:val="00A52886"/>
    <w:pPr>
      <w:widowControl w:val="0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semiHidden/>
    <w:rsid w:val="00A52886"/>
    <w:pPr>
      <w:widowControl w:val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Classic 1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5"/>
    <w:semiHidden/>
    <w:rsid w:val="00A52886"/>
    <w:pPr>
      <w:widowControl w:val="0"/>
    </w:pPr>
    <w:rPr>
      <w:rFonts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Colorful 1"/>
    <w:basedOn w:val="a5"/>
    <w:semiHidden/>
    <w:rsid w:val="00A52886"/>
    <w:pPr>
      <w:widowControl w:val="0"/>
    </w:pPr>
    <w:rPr>
      <w:rFonts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7">
    <w:name w:val="Table Elegant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Grid 1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2">
    <w:name w:val="Table Grid 4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A52886"/>
    <w:pPr>
      <w:widowControl w:val="0"/>
    </w:pPr>
    <w:rPr>
      <w:rFonts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Subtle 1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Professional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1">
    <w:name w:val="Table List 1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5"/>
    <w:semiHidden/>
    <w:rsid w:val="00A52886"/>
    <w:pPr>
      <w:widowControl w:val="0"/>
    </w:pPr>
    <w:rPr>
      <w:rFonts w:cs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9">
    <w:name w:val="Table Contemporary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f2">
    <w:name w:val="Table Simple 1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semiHidden/>
    <w:rsid w:val="00A52886"/>
    <w:pPr>
      <w:widowControl w:val="0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Columns 1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5"/>
    <w:semiHidden/>
    <w:rsid w:val="00A52886"/>
    <w:pPr>
      <w:widowControl w:val="0"/>
    </w:pPr>
    <w:rPr>
      <w:rFonts w:cs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5"/>
    <w:semiHidden/>
    <w:rsid w:val="00A52886"/>
    <w:pPr>
      <w:widowControl w:val="0"/>
    </w:pPr>
    <w:rPr>
      <w:rFonts w:cs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Theme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Message Header"/>
    <w:basedOn w:val="a3"/>
    <w:link w:val="afffffc"/>
    <w:semiHidden/>
    <w:rsid w:val="00A5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fffc">
    <w:name w:val="訊息欄位名稱 字元"/>
    <w:link w:val="afffffb"/>
    <w:semiHidden/>
    <w:rsid w:val="00A52886"/>
    <w:rPr>
      <w:rFonts w:ascii="Arial" w:eastAsia="新細明體" w:hAnsi="Arial" w:cs="Arial"/>
      <w:szCs w:val="24"/>
      <w:shd w:val="pct20" w:color="auto" w:fill="auto"/>
    </w:rPr>
  </w:style>
  <w:style w:type="paragraph" w:styleId="afffffd">
    <w:name w:val="envelope return"/>
    <w:basedOn w:val="a3"/>
    <w:semiHidden/>
    <w:rsid w:val="00A52886"/>
    <w:pPr>
      <w:snapToGrid w:val="0"/>
    </w:pPr>
    <w:rPr>
      <w:rFonts w:ascii="Arial" w:hAnsi="Arial" w:cs="Arial"/>
    </w:rPr>
  </w:style>
  <w:style w:type="paragraph" w:styleId="afffffe">
    <w:name w:val="List Continue"/>
    <w:basedOn w:val="a3"/>
    <w:semiHidden/>
    <w:rsid w:val="00A52886"/>
    <w:pPr>
      <w:spacing w:after="120"/>
      <w:ind w:leftChars="200" w:left="480"/>
    </w:pPr>
    <w:rPr>
      <w:rFonts w:cs="Times New Roman"/>
    </w:rPr>
  </w:style>
  <w:style w:type="paragraph" w:styleId="2f5">
    <w:name w:val="List Continue 2"/>
    <w:basedOn w:val="a3"/>
    <w:semiHidden/>
    <w:rsid w:val="00A52886"/>
    <w:pPr>
      <w:spacing w:after="120"/>
      <w:ind w:leftChars="400" w:left="960"/>
    </w:pPr>
    <w:rPr>
      <w:rFonts w:cs="Times New Roman"/>
    </w:rPr>
  </w:style>
  <w:style w:type="paragraph" w:styleId="3c">
    <w:name w:val="List Continue 3"/>
    <w:basedOn w:val="a3"/>
    <w:semiHidden/>
    <w:rsid w:val="00A52886"/>
    <w:pPr>
      <w:spacing w:after="120"/>
      <w:ind w:leftChars="600" w:left="1440"/>
    </w:pPr>
    <w:rPr>
      <w:rFonts w:cs="Times New Roman"/>
    </w:rPr>
  </w:style>
  <w:style w:type="paragraph" w:styleId="45">
    <w:name w:val="List Continue 4"/>
    <w:basedOn w:val="a3"/>
    <w:semiHidden/>
    <w:rsid w:val="00A52886"/>
    <w:pPr>
      <w:spacing w:after="120"/>
      <w:ind w:leftChars="800" w:left="1920"/>
    </w:pPr>
    <w:rPr>
      <w:rFonts w:cs="Times New Roman"/>
    </w:rPr>
  </w:style>
  <w:style w:type="paragraph" w:styleId="54">
    <w:name w:val="List Continue 5"/>
    <w:basedOn w:val="a3"/>
    <w:semiHidden/>
    <w:rsid w:val="00A52886"/>
    <w:pPr>
      <w:spacing w:after="120"/>
      <w:ind w:leftChars="1000" w:left="2400"/>
    </w:pPr>
    <w:rPr>
      <w:rFonts w:cs="Times New Roman"/>
    </w:rPr>
  </w:style>
  <w:style w:type="paragraph" w:styleId="affffff">
    <w:name w:val="List"/>
    <w:basedOn w:val="a3"/>
    <w:semiHidden/>
    <w:rsid w:val="00A52886"/>
    <w:pPr>
      <w:ind w:leftChars="200" w:left="100" w:hangingChars="200" w:hanging="200"/>
    </w:pPr>
    <w:rPr>
      <w:rFonts w:cs="Times New Roman"/>
    </w:rPr>
  </w:style>
  <w:style w:type="paragraph" w:styleId="2f6">
    <w:name w:val="List 2"/>
    <w:basedOn w:val="a3"/>
    <w:semiHidden/>
    <w:rsid w:val="00A52886"/>
    <w:pPr>
      <w:ind w:leftChars="400" w:left="100" w:hangingChars="200" w:hanging="200"/>
    </w:pPr>
    <w:rPr>
      <w:rFonts w:cs="Times New Roman"/>
    </w:rPr>
  </w:style>
  <w:style w:type="paragraph" w:styleId="3d">
    <w:name w:val="List 3"/>
    <w:basedOn w:val="a3"/>
    <w:semiHidden/>
    <w:rsid w:val="00A52886"/>
    <w:pPr>
      <w:ind w:leftChars="600" w:left="100" w:hangingChars="200" w:hanging="200"/>
    </w:pPr>
    <w:rPr>
      <w:rFonts w:cs="Times New Roman"/>
    </w:rPr>
  </w:style>
  <w:style w:type="paragraph" w:styleId="46">
    <w:name w:val="List 4"/>
    <w:basedOn w:val="a3"/>
    <w:rsid w:val="00A52886"/>
    <w:pPr>
      <w:ind w:leftChars="800" w:left="100" w:hangingChars="200" w:hanging="200"/>
    </w:pPr>
    <w:rPr>
      <w:rFonts w:cs="Times New Roman"/>
    </w:rPr>
  </w:style>
  <w:style w:type="paragraph" w:styleId="55">
    <w:name w:val="List 5"/>
    <w:basedOn w:val="a3"/>
    <w:rsid w:val="00A52886"/>
    <w:pPr>
      <w:ind w:leftChars="1000" w:left="100" w:hangingChars="200" w:hanging="200"/>
    </w:pPr>
    <w:rPr>
      <w:rFonts w:cs="Times New Roman"/>
    </w:rPr>
  </w:style>
  <w:style w:type="paragraph" w:styleId="affffff0">
    <w:name w:val="List Number"/>
    <w:basedOn w:val="a3"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7">
    <w:name w:val="List Number 2"/>
    <w:basedOn w:val="a3"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e">
    <w:name w:val="List Number 3"/>
    <w:basedOn w:val="a3"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7">
    <w:name w:val="List Number 4"/>
    <w:basedOn w:val="a3"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6">
    <w:name w:val="List Number 5"/>
    <w:basedOn w:val="a3"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1">
    <w:name w:val="Note Heading"/>
    <w:basedOn w:val="a3"/>
    <w:next w:val="a3"/>
    <w:link w:val="affffff2"/>
    <w:semiHidden/>
    <w:rsid w:val="00A52886"/>
    <w:pPr>
      <w:jc w:val="center"/>
    </w:pPr>
    <w:rPr>
      <w:rFonts w:cs="Times New Roman"/>
    </w:rPr>
  </w:style>
  <w:style w:type="character" w:customStyle="1" w:styleId="affffff2">
    <w:name w:val="註釋標題 字元"/>
    <w:link w:val="affffff1"/>
    <w:semiHidden/>
    <w:rsid w:val="00A52886"/>
    <w:rPr>
      <w:rFonts w:ascii="Calibri" w:eastAsia="新細明體" w:hAnsi="Calibri" w:cs="Times New Roman"/>
    </w:rPr>
  </w:style>
  <w:style w:type="paragraph" w:styleId="affffff3">
    <w:name w:val="List Bullet"/>
    <w:basedOn w:val="a3"/>
    <w:autoRedefine/>
    <w:semiHidden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8">
    <w:name w:val="List Bullet 2"/>
    <w:basedOn w:val="a3"/>
    <w:autoRedefine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f">
    <w:name w:val="List Bullet 3"/>
    <w:basedOn w:val="a3"/>
    <w:autoRedefine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8">
    <w:name w:val="List Bullet 4"/>
    <w:basedOn w:val="a3"/>
    <w:autoRedefine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7">
    <w:name w:val="List Bullet 5"/>
    <w:basedOn w:val="a3"/>
    <w:autoRedefine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4">
    <w:name w:val="E-mail Signature"/>
    <w:basedOn w:val="a3"/>
    <w:link w:val="affffff5"/>
    <w:semiHidden/>
    <w:rsid w:val="00A52886"/>
    <w:rPr>
      <w:rFonts w:cs="Times New Roman"/>
    </w:rPr>
  </w:style>
  <w:style w:type="character" w:customStyle="1" w:styleId="affffff5">
    <w:name w:val="電子郵件簽名 字元"/>
    <w:link w:val="affffff4"/>
    <w:semiHidden/>
    <w:rsid w:val="00A52886"/>
    <w:rPr>
      <w:rFonts w:ascii="Calibri" w:eastAsia="新細明體" w:hAnsi="Calibri" w:cs="Times New Roman"/>
    </w:rPr>
  </w:style>
  <w:style w:type="paragraph" w:styleId="affffff6">
    <w:name w:val="Title"/>
    <w:basedOn w:val="a3"/>
    <w:link w:val="affffff7"/>
    <w:qFormat/>
    <w:rsid w:val="00A528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ff7">
    <w:name w:val="標題 字元"/>
    <w:link w:val="affffff6"/>
    <w:rsid w:val="00A52886"/>
    <w:rPr>
      <w:rFonts w:ascii="Arial" w:eastAsia="新細明體" w:hAnsi="Arial" w:cs="Arial"/>
      <w:b/>
      <w:bCs/>
      <w:sz w:val="32"/>
      <w:szCs w:val="32"/>
    </w:rPr>
  </w:style>
  <w:style w:type="paragraph" w:styleId="affffff8">
    <w:name w:val="Signature"/>
    <w:basedOn w:val="a3"/>
    <w:link w:val="affffff9"/>
    <w:semiHidden/>
    <w:rsid w:val="00A52886"/>
    <w:pPr>
      <w:ind w:leftChars="1800" w:left="100"/>
    </w:pPr>
    <w:rPr>
      <w:rFonts w:cs="Times New Roman"/>
    </w:rPr>
  </w:style>
  <w:style w:type="character" w:customStyle="1" w:styleId="affffff9">
    <w:name w:val="簽名 字元"/>
    <w:link w:val="affffff8"/>
    <w:semiHidden/>
    <w:rsid w:val="00A52886"/>
    <w:rPr>
      <w:rFonts w:ascii="Calibri" w:eastAsia="新細明體" w:hAnsi="Calibri" w:cs="Times New Roman"/>
    </w:rPr>
  </w:style>
  <w:style w:type="paragraph" w:customStyle="1" w:styleId="affffffa">
    <w:name w:val="柒、"/>
    <w:basedOn w:val="a3"/>
    <w:rsid w:val="00A52886"/>
    <w:pPr>
      <w:jc w:val="center"/>
    </w:pPr>
    <w:rPr>
      <w:rFonts w:ascii="標楷體" w:eastAsia="標楷體" w:hAnsi="標楷體" w:cs="Times New Roman"/>
      <w:b/>
      <w:spacing w:val="-2"/>
      <w:sz w:val="52"/>
      <w:szCs w:val="52"/>
    </w:rPr>
  </w:style>
  <w:style w:type="paragraph" w:customStyle="1" w:styleId="2f9">
    <w:name w:val="圓2"/>
    <w:basedOn w:val="aff0"/>
    <w:rsid w:val="00A52886"/>
    <w:pPr>
      <w:adjustRightInd w:val="0"/>
      <w:snapToGrid w:val="0"/>
      <w:spacing w:line="360" w:lineRule="exact"/>
      <w:ind w:leftChars="400" w:left="1240" w:hangingChars="100" w:hanging="280"/>
      <w:jc w:val="both"/>
    </w:pPr>
    <w:rPr>
      <w:rFonts w:ascii="Times New Roman" w:eastAsia="標楷體" w:hAnsi="標楷體"/>
      <w:color w:val="000000"/>
      <w:spacing w:val="-2"/>
      <w:kern w:val="0"/>
      <w:sz w:val="28"/>
      <w:szCs w:val="28"/>
    </w:rPr>
  </w:style>
  <w:style w:type="paragraph" w:customStyle="1" w:styleId="affffffb">
    <w:name w:val="(十一)"/>
    <w:basedOn w:val="affff"/>
    <w:rsid w:val="00A52886"/>
    <w:pPr>
      <w:ind w:left="691" w:hangingChars="250" w:hanging="691"/>
    </w:pPr>
    <w:rPr>
      <w:rFonts w:ascii="Calibri"/>
    </w:rPr>
  </w:style>
  <w:style w:type="paragraph" w:customStyle="1" w:styleId="affffffc">
    <w:name w:val="(十一)內文"/>
    <w:basedOn w:val="affff1"/>
    <w:rsid w:val="00A52886"/>
    <w:pPr>
      <w:ind w:leftChars="300" w:left="720"/>
    </w:pPr>
    <w:rPr>
      <w:rFonts w:ascii="細明體" w:hAnsi="Courier New"/>
    </w:rPr>
  </w:style>
  <w:style w:type="paragraph" w:customStyle="1" w:styleId="1ff4">
    <w:name w:val="(十一)1."/>
    <w:basedOn w:val="affffffc"/>
    <w:rsid w:val="00A52886"/>
    <w:pPr>
      <w:ind w:left="996" w:hangingChars="100" w:hanging="276"/>
    </w:pPr>
  </w:style>
  <w:style w:type="paragraph" w:customStyle="1" w:styleId="1ff5">
    <w:name w:val="(十一)(1)"/>
    <w:basedOn w:val="27"/>
    <w:rsid w:val="00A52886"/>
    <w:pPr>
      <w:ind w:leftChars="400" w:left="1319" w:hangingChars="100" w:hanging="276"/>
    </w:pPr>
    <w:rPr>
      <w:rFonts w:ascii="細明體" w:hAnsi="Courier New"/>
      <w:kern w:val="2"/>
    </w:rPr>
  </w:style>
  <w:style w:type="paragraph" w:customStyle="1" w:styleId="103">
    <w:name w:val="10.內文"/>
    <w:basedOn w:val="102"/>
    <w:rsid w:val="00A52886"/>
    <w:pPr>
      <w:ind w:leftChars="350" w:left="840" w:firstLineChars="0" w:firstLine="0"/>
    </w:pPr>
    <w:rPr>
      <w:rFonts w:ascii="細明體" w:hAnsi="Courier New" w:cs="TT21Eo00"/>
      <w:kern w:val="0"/>
    </w:rPr>
  </w:style>
  <w:style w:type="character" w:customStyle="1" w:styleId="affffffd">
    <w:name w:val="字元 字元 字元 字元 字元 字元 字元 字元 字元 字元 字元"/>
    <w:semiHidden/>
    <w:rsid w:val="00A52886"/>
    <w:rPr>
      <w:rFonts w:ascii="Tahoma" w:eastAsia="新細明體" w:hAnsi="Tahoma"/>
      <w:lang w:val="en-US" w:eastAsia="en-US" w:bidi="ar-SA"/>
    </w:rPr>
  </w:style>
  <w:style w:type="paragraph" w:customStyle="1" w:styleId="affffffe">
    <w:name w:val="表左"/>
    <w:basedOn w:val="a3"/>
    <w:rsid w:val="00A52886"/>
    <w:pPr>
      <w:spacing w:line="283" w:lineRule="atLeast"/>
      <w:ind w:left="57" w:right="57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style81">
    <w:name w:val="style81"/>
    <w:rsid w:val="00A52886"/>
    <w:rPr>
      <w:color w:val="000000"/>
    </w:rPr>
  </w:style>
  <w:style w:type="paragraph" w:customStyle="1" w:styleId="1ff6">
    <w:name w:val="內文1"/>
    <w:rsid w:val="00A52886"/>
    <w:rPr>
      <w:rFonts w:ascii="Helvetica" w:eastAsia="ヒラギノ角ゴ Pro W3" w:hAnsi="Helvetica" w:cs="Times New Roman"/>
      <w:color w:val="000000"/>
      <w:sz w:val="24"/>
    </w:rPr>
  </w:style>
  <w:style w:type="paragraph" w:customStyle="1" w:styleId="a0">
    <w:name w:val="研考報告標題一、"/>
    <w:basedOn w:val="a3"/>
    <w:rsid w:val="00A52886"/>
    <w:pPr>
      <w:numPr>
        <w:numId w:val="4"/>
      </w:numPr>
      <w:snapToGrid w:val="0"/>
      <w:spacing w:beforeLines="30" w:afterLines="30"/>
      <w:outlineLvl w:val="0"/>
    </w:pPr>
    <w:rPr>
      <w:rFonts w:ascii="標楷體" w:eastAsia="標楷體" w:hAnsi="Times New Roman" w:cs="Times New Roman"/>
      <w:sz w:val="28"/>
      <w:szCs w:val="28"/>
    </w:rPr>
  </w:style>
  <w:style w:type="paragraph" w:customStyle="1" w:styleId="a1">
    <w:name w:val="研考報告標題（一）"/>
    <w:basedOn w:val="a3"/>
    <w:rsid w:val="00A52886"/>
    <w:pPr>
      <w:numPr>
        <w:numId w:val="5"/>
      </w:numPr>
      <w:snapToGrid w:val="0"/>
      <w:spacing w:beforeLines="30" w:afterLines="30"/>
      <w:outlineLvl w:val="1"/>
    </w:pPr>
    <w:rPr>
      <w:rFonts w:ascii="標楷體" w:eastAsia="標楷體" w:hAnsi="Times New Roman" w:cs="Times New Roman"/>
      <w:sz w:val="28"/>
      <w:szCs w:val="28"/>
    </w:rPr>
  </w:style>
  <w:style w:type="paragraph" w:customStyle="1" w:styleId="10">
    <w:name w:val="研考報告標題1."/>
    <w:basedOn w:val="a3"/>
    <w:rsid w:val="00A52886"/>
    <w:pPr>
      <w:numPr>
        <w:numId w:val="6"/>
      </w:numPr>
      <w:snapToGrid w:val="0"/>
      <w:spacing w:beforeLines="30" w:afterLines="30"/>
      <w:outlineLvl w:val="2"/>
    </w:pPr>
    <w:rPr>
      <w:rFonts w:ascii="標楷體" w:eastAsia="標楷體" w:hAnsi="Times New Roman" w:cs="Times New Roman"/>
      <w:sz w:val="28"/>
      <w:szCs w:val="28"/>
    </w:rPr>
  </w:style>
  <w:style w:type="paragraph" w:customStyle="1" w:styleId="afffffff">
    <w:name w:val="研考報告內文一、"/>
    <w:basedOn w:val="a3"/>
    <w:autoRedefine/>
    <w:rsid w:val="00A52886"/>
    <w:pPr>
      <w:snapToGrid w:val="0"/>
      <w:spacing w:line="360" w:lineRule="exact"/>
      <w:ind w:leftChars="235" w:left="564" w:firstLine="1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afffffff0">
    <w:name w:val="研考報告內文（一）"/>
    <w:basedOn w:val="a3"/>
    <w:rsid w:val="00A52886"/>
    <w:pPr>
      <w:snapToGrid w:val="0"/>
      <w:spacing w:beforeLines="30" w:afterLines="30"/>
      <w:ind w:leftChars="321" w:left="899"/>
    </w:pPr>
    <w:rPr>
      <w:rFonts w:ascii="標楷體" w:eastAsia="標楷體" w:hAnsi="Times New Roman" w:cs="Times New Roman"/>
      <w:sz w:val="28"/>
      <w:szCs w:val="28"/>
    </w:rPr>
  </w:style>
  <w:style w:type="paragraph" w:customStyle="1" w:styleId="1">
    <w:name w:val="研考報告標題(1)"/>
    <w:basedOn w:val="a3"/>
    <w:rsid w:val="00A52886"/>
    <w:pPr>
      <w:numPr>
        <w:numId w:val="7"/>
      </w:numPr>
      <w:snapToGrid w:val="0"/>
      <w:spacing w:beforeLines="30" w:afterLines="30"/>
      <w:outlineLvl w:val="3"/>
    </w:pPr>
    <w:rPr>
      <w:rFonts w:ascii="標楷體" w:eastAsia="標楷體" w:hAnsi="Times New Roman" w:cs="Times New Roman"/>
      <w:sz w:val="28"/>
      <w:szCs w:val="28"/>
    </w:rPr>
  </w:style>
  <w:style w:type="paragraph" w:customStyle="1" w:styleId="1ff7">
    <w:name w:val="研考報告內文1."/>
    <w:basedOn w:val="a3"/>
    <w:rsid w:val="00A52886"/>
    <w:pPr>
      <w:snapToGrid w:val="0"/>
      <w:spacing w:beforeLines="30" w:afterLines="30"/>
      <w:ind w:leftChars="430" w:left="120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8">
    <w:name w:val="研考報告標題○1"/>
    <w:basedOn w:val="a3"/>
    <w:rsid w:val="00A52886"/>
    <w:pPr>
      <w:snapToGrid w:val="0"/>
      <w:spacing w:beforeLines="30" w:afterLines="30"/>
      <w:ind w:leftChars="500" w:left="1694" w:hangingChars="105" w:hanging="294"/>
      <w:outlineLvl w:val="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9">
    <w:name w:val="研考報告內文(1)"/>
    <w:basedOn w:val="1ff7"/>
    <w:rsid w:val="00A52886"/>
    <w:pPr>
      <w:ind w:leftChars="530" w:left="1484"/>
    </w:pPr>
  </w:style>
  <w:style w:type="paragraph" w:customStyle="1" w:styleId="temp1">
    <w:name w:val="temp1"/>
    <w:basedOn w:val="1ff7"/>
    <w:rsid w:val="00A52886"/>
    <w:pPr>
      <w:spacing w:line="378" w:lineRule="exact"/>
      <w:ind w:leftChars="450" w:left="1260"/>
      <w:jc w:val="both"/>
    </w:pPr>
    <w:rPr>
      <w:rFonts w:cs="新細明體"/>
      <w:szCs w:val="20"/>
    </w:rPr>
  </w:style>
  <w:style w:type="paragraph" w:customStyle="1" w:styleId="afffffff1">
    <w:name w:val="國字一之十一"/>
    <w:basedOn w:val="a3"/>
    <w:rsid w:val="00A52886"/>
    <w:pPr>
      <w:ind w:left="1080" w:hangingChars="270" w:hanging="1080"/>
    </w:pPr>
    <w:rPr>
      <w:rFonts w:ascii="Times New Roman" w:eastAsia="標楷體" w:hAnsi="新細明體" w:cs="Times New Roman"/>
      <w:sz w:val="40"/>
      <w:szCs w:val="24"/>
    </w:rPr>
  </w:style>
  <w:style w:type="paragraph" w:customStyle="1" w:styleId="b">
    <w:name w:val="b."/>
    <w:basedOn w:val="1ff8"/>
    <w:rsid w:val="00A52886"/>
    <w:pPr>
      <w:spacing w:beforeLines="0" w:afterLines="0" w:line="360" w:lineRule="exact"/>
      <w:ind w:leftChars="400" w:left="1236" w:hangingChars="100" w:hanging="276"/>
      <w:jc w:val="both"/>
    </w:pPr>
    <w:rPr>
      <w:rFonts w:hAnsi="標楷體"/>
      <w:color w:val="000000"/>
      <w:spacing w:val="-2"/>
    </w:rPr>
  </w:style>
  <w:style w:type="paragraph" w:customStyle="1" w:styleId="3f0">
    <w:name w:val="(3)內"/>
    <w:basedOn w:val="29"/>
    <w:rsid w:val="00A52886"/>
    <w:pPr>
      <w:ind w:leftChars="392" w:left="941"/>
    </w:pPr>
    <w:rPr>
      <w:rFonts w:ascii="細明體" w:hAnsi="Courier New"/>
    </w:rPr>
  </w:style>
  <w:style w:type="paragraph" w:customStyle="1" w:styleId="c">
    <w:name w:val="c."/>
    <w:basedOn w:val="a3"/>
    <w:rsid w:val="00A52886"/>
    <w:pPr>
      <w:snapToGrid w:val="0"/>
      <w:spacing w:line="360" w:lineRule="exact"/>
      <w:ind w:leftChars="500" w:left="1476" w:hangingChars="100" w:hanging="276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paragraph" w:customStyle="1" w:styleId="f">
    <w:name w:val="(f)"/>
    <w:basedOn w:val="a3"/>
    <w:rsid w:val="00A52886"/>
    <w:pPr>
      <w:snapToGrid w:val="0"/>
      <w:spacing w:line="360" w:lineRule="exact"/>
      <w:ind w:leftChars="600" w:left="1854" w:hangingChars="150" w:hanging="414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character" w:customStyle="1" w:styleId="28">
    <w:name w:val="(2) 字元"/>
    <w:link w:val="27"/>
    <w:rsid w:val="00A52886"/>
    <w:rPr>
      <w:rFonts w:ascii="Times New Roman" w:eastAsia="標楷體" w:hAnsi="Times New Roman" w:cs="Times New Roman"/>
      <w:spacing w:val="-2"/>
      <w:kern w:val="0"/>
      <w:sz w:val="28"/>
      <w:szCs w:val="28"/>
    </w:rPr>
  </w:style>
  <w:style w:type="character" w:customStyle="1" w:styleId="affff0">
    <w:name w:val="(二) 字元"/>
    <w:link w:val="affff"/>
    <w:rsid w:val="00A52886"/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1000">
    <w:name w:val="100"/>
    <w:basedOn w:val="a3"/>
    <w:rsid w:val="00A52886"/>
    <w:pPr>
      <w:widowControl/>
      <w:snapToGrid w:val="0"/>
      <w:spacing w:line="360" w:lineRule="atLeast"/>
      <w:ind w:leftChars="350" w:left="350"/>
      <w:jc w:val="both"/>
    </w:pPr>
    <w:rPr>
      <w:rFonts w:ascii="標楷體" w:eastAsia="標楷體" w:hAnsi="標楷體" w:cs="新細明體"/>
      <w:spacing w:val="-2"/>
      <w:kern w:val="0"/>
      <w:sz w:val="28"/>
      <w:szCs w:val="28"/>
    </w:rPr>
  </w:style>
  <w:style w:type="paragraph" w:customStyle="1" w:styleId="a01">
    <w:name w:val="a0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2">
    <w:name w:val="a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941029147msonormal">
    <w:name w:val="yiv1941029147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02-A">
    <w:name w:val="002-A."/>
    <w:basedOn w:val="a3"/>
    <w:rsid w:val="00A52886"/>
    <w:pPr>
      <w:snapToGrid w:val="0"/>
      <w:spacing w:line="320" w:lineRule="atLeast"/>
      <w:ind w:leftChars="443" w:left="555" w:rightChars="50" w:right="50" w:hangingChars="112" w:hanging="112"/>
      <w:jc w:val="both"/>
    </w:pPr>
    <w:rPr>
      <w:rFonts w:ascii="標楷體" w:eastAsia="標楷體" w:hAnsi="標楷體" w:cs="Times New Roman"/>
      <w:szCs w:val="24"/>
    </w:rPr>
  </w:style>
  <w:style w:type="paragraph" w:customStyle="1" w:styleId="002-1">
    <w:name w:val="002-(1)"/>
    <w:basedOn w:val="a3"/>
    <w:link w:val="002-10"/>
    <w:rsid w:val="00A52886"/>
    <w:pPr>
      <w:snapToGrid w:val="0"/>
      <w:spacing w:line="320" w:lineRule="exact"/>
      <w:ind w:leftChars="150" w:left="300" w:rightChars="50" w:right="50" w:hangingChars="150" w:hanging="150"/>
      <w:jc w:val="both"/>
    </w:pPr>
    <w:rPr>
      <w:rFonts w:ascii="標楷體" w:eastAsia="標楷體" w:hAnsi="標楷體" w:cs="Times New Roman"/>
      <w:color w:val="000000"/>
      <w:szCs w:val="28"/>
    </w:rPr>
  </w:style>
  <w:style w:type="character" w:customStyle="1" w:styleId="002-10">
    <w:name w:val="002-(1) 字元"/>
    <w:link w:val="002-1"/>
    <w:rsid w:val="00A52886"/>
    <w:rPr>
      <w:rFonts w:ascii="標楷體" w:eastAsia="標楷體" w:hAnsi="標楷體" w:cs="Times New Roman"/>
      <w:color w:val="000000"/>
      <w:szCs w:val="28"/>
    </w:rPr>
  </w:style>
  <w:style w:type="paragraph" w:customStyle="1" w:styleId="002-11">
    <w:name w:val="002-1."/>
    <w:basedOn w:val="a3"/>
    <w:rsid w:val="00A52886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 w:cs="Times New Roman"/>
      <w:color w:val="000000"/>
      <w:szCs w:val="28"/>
    </w:rPr>
  </w:style>
  <w:style w:type="paragraph" w:customStyle="1" w:styleId="1ffa">
    <w:name w:val="(一)1全部標題"/>
    <w:basedOn w:val="a3"/>
    <w:rsid w:val="00A52886"/>
    <w:pPr>
      <w:snapToGrid w:val="0"/>
      <w:ind w:leftChars="190" w:left="1237" w:hangingChars="300" w:hanging="781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002-100">
    <w:name w:val="002-10."/>
    <w:basedOn w:val="002-11"/>
    <w:rsid w:val="00A52886"/>
    <w:pPr>
      <w:ind w:left="200" w:right="50" w:hangingChars="150" w:hanging="150"/>
    </w:pPr>
    <w:rPr>
      <w:rFonts w:cs="標楷體"/>
      <w:szCs w:val="24"/>
    </w:rPr>
  </w:style>
  <w:style w:type="paragraph" w:customStyle="1" w:styleId="3f1">
    <w:name w:val="身權3"/>
    <w:basedOn w:val="17"/>
    <w:rsid w:val="00A52886"/>
    <w:pPr>
      <w:tabs>
        <w:tab w:val="num" w:pos="0"/>
      </w:tabs>
      <w:spacing w:line="400" w:lineRule="exact"/>
      <w:ind w:leftChars="708" w:left="1982" w:hangingChars="101" w:hanging="283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49">
    <w:name w:val="身權4"/>
    <w:basedOn w:val="a3"/>
    <w:rsid w:val="00A52886"/>
    <w:pPr>
      <w:spacing w:line="400" w:lineRule="exact"/>
      <w:ind w:leftChars="828" w:left="2410" w:hangingChars="151" w:hanging="423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2fa">
    <w:name w:val="社團有約2"/>
    <w:basedOn w:val="a3"/>
    <w:rsid w:val="00A52886"/>
    <w:pPr>
      <w:widowControl/>
      <w:adjustRightInd w:val="0"/>
      <w:snapToGrid w:val="0"/>
      <w:spacing w:line="480" w:lineRule="exact"/>
      <w:ind w:firstLineChars="607" w:firstLine="1700"/>
      <w:jc w:val="both"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paragraph" w:customStyle="1" w:styleId="a02">
    <w:name w:val="a0內"/>
    <w:basedOn w:val="a3"/>
    <w:link w:val="a03"/>
    <w:rsid w:val="00A52886"/>
    <w:pPr>
      <w:snapToGrid w:val="0"/>
      <w:ind w:leftChars="1049" w:left="2521" w:hanging="3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a03">
    <w:name w:val="a0內 字元"/>
    <w:link w:val="a02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afffffff3">
    <w:name w:val="(一)內容"/>
    <w:basedOn w:val="afffa"/>
    <w:rsid w:val="00A52886"/>
    <w:pPr>
      <w:suppressAutoHyphens w:val="0"/>
      <w:autoSpaceDN/>
      <w:snapToGrid/>
      <w:spacing w:line="320" w:lineRule="exact"/>
      <w:ind w:leftChars="405" w:left="455" w:hangingChars="50" w:hanging="50"/>
      <w:textAlignment w:val="auto"/>
      <w:outlineLvl w:val="9"/>
    </w:pPr>
    <w:rPr>
      <w:rFonts w:hAnsi="Times New Roman" w:cs="標楷體"/>
      <w:b w:val="0"/>
      <w:color w:val="auto"/>
      <w:kern w:val="2"/>
      <w:sz w:val="28"/>
      <w:szCs w:val="28"/>
      <w:shd w:val="clear" w:color="auto" w:fill="FFFFFF"/>
    </w:rPr>
  </w:style>
  <w:style w:type="paragraph" w:customStyle="1" w:styleId="1ffb">
    <w:name w:val="1標題"/>
    <w:basedOn w:val="002-11"/>
    <w:rsid w:val="00A52886"/>
    <w:pPr>
      <w:ind w:leftChars="300" w:left="351" w:rightChars="18" w:right="18" w:firstLineChars="0" w:hanging="51"/>
    </w:pPr>
    <w:rPr>
      <w:rFonts w:cs="標楷體"/>
      <w:color w:val="auto"/>
      <w:sz w:val="28"/>
      <w:shd w:val="clear" w:color="auto" w:fill="FFFFFF"/>
    </w:rPr>
  </w:style>
  <w:style w:type="paragraph" w:customStyle="1" w:styleId="afffffff4">
    <w:name w:val="施政報告(一)標題"/>
    <w:basedOn w:val="a3"/>
    <w:link w:val="afffffff5"/>
    <w:rsid w:val="00A52886"/>
    <w:pPr>
      <w:spacing w:line="320" w:lineRule="exact"/>
      <w:ind w:leftChars="100" w:left="100"/>
      <w:jc w:val="both"/>
    </w:pPr>
    <w:rPr>
      <w:rFonts w:ascii="標楷體" w:eastAsia="標楷體" w:hAnsi="Times New Roman" w:cs="標楷體"/>
      <w:sz w:val="28"/>
      <w:szCs w:val="28"/>
    </w:rPr>
  </w:style>
  <w:style w:type="paragraph" w:customStyle="1" w:styleId="afffffff6">
    <w:name w:val="施政報告(一)內文"/>
    <w:basedOn w:val="afffffff4"/>
    <w:link w:val="afffffff7"/>
    <w:rsid w:val="00A52886"/>
    <w:pPr>
      <w:ind w:leftChars="405" w:left="405"/>
    </w:pPr>
  </w:style>
  <w:style w:type="character" w:customStyle="1" w:styleId="afffffff5">
    <w:name w:val="施政報告(一)標題 字元"/>
    <w:link w:val="afffffff4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c">
    <w:name w:val="施政報告1標題"/>
    <w:basedOn w:val="afffffff4"/>
    <w:link w:val="1ffd"/>
    <w:rsid w:val="00A52886"/>
    <w:pPr>
      <w:ind w:leftChars="300" w:left="351" w:rightChars="18" w:right="18" w:hanging="51"/>
    </w:pPr>
  </w:style>
  <w:style w:type="character" w:customStyle="1" w:styleId="afffffff7">
    <w:name w:val="施政報告(一)內文 字元"/>
    <w:link w:val="afffffff6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e">
    <w:name w:val="施政報告(1)標題"/>
    <w:basedOn w:val="a3"/>
    <w:link w:val="1fff"/>
    <w:rsid w:val="00A52886"/>
    <w:pPr>
      <w:spacing w:line="320" w:lineRule="exact"/>
      <w:ind w:leftChars="383" w:left="383" w:rightChars="18" w:right="18"/>
    </w:pPr>
    <w:rPr>
      <w:rFonts w:ascii="標楷體" w:eastAsia="標楷體" w:hAnsi="Times New Roman" w:cs="標楷體"/>
      <w:sz w:val="28"/>
      <w:szCs w:val="28"/>
    </w:rPr>
  </w:style>
  <w:style w:type="character" w:customStyle="1" w:styleId="1ffd">
    <w:name w:val="施政報告1標題 字元"/>
    <w:link w:val="1ffc"/>
    <w:rsid w:val="00A52886"/>
    <w:rPr>
      <w:rFonts w:ascii="標楷體" w:eastAsia="標楷體" w:hAnsi="Times New Roman" w:cs="標楷體"/>
      <w:sz w:val="28"/>
      <w:szCs w:val="28"/>
    </w:rPr>
  </w:style>
  <w:style w:type="character" w:customStyle="1" w:styleId="1fff">
    <w:name w:val="施政報告(1)標題 字元"/>
    <w:link w:val="1ffe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05-2-4">
    <w:name w:val="105-2-4"/>
    <w:basedOn w:val="a3"/>
    <w:rsid w:val="00A52886"/>
    <w:pPr>
      <w:widowControl/>
      <w:adjustRightInd w:val="0"/>
      <w:snapToGrid w:val="0"/>
      <w:spacing w:line="480" w:lineRule="exact"/>
      <w:ind w:leftChars="827" w:left="2691" w:hangingChars="252" w:hanging="706"/>
      <w:jc w:val="both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afffffff8">
    <w:name w:val="表左一、"/>
    <w:basedOn w:val="a3"/>
    <w:uiPriority w:val="99"/>
    <w:rsid w:val="00A52886"/>
    <w:pPr>
      <w:kinsoku w:val="0"/>
      <w:spacing w:line="283" w:lineRule="exact"/>
      <w:ind w:leftChars="115" w:left="241" w:rightChars="10" w:right="21"/>
      <w:jc w:val="both"/>
    </w:pPr>
    <w:rPr>
      <w:rFonts w:ascii="Times New Roman" w:hAnsi="Times New Roman" w:cs="Times New Roman"/>
      <w:sz w:val="21"/>
      <w:szCs w:val="24"/>
    </w:rPr>
  </w:style>
  <w:style w:type="paragraph" w:customStyle="1" w:styleId="-0">
    <w:name w:val="研考會-內文"/>
    <w:autoRedefine/>
    <w:rsid w:val="00A52886"/>
    <w:pPr>
      <w:widowControl w:val="0"/>
      <w:tabs>
        <w:tab w:val="left" w:pos="-4860"/>
        <w:tab w:val="left" w:pos="745"/>
        <w:tab w:val="left" w:pos="1980"/>
      </w:tabs>
      <w:adjustRightInd w:val="0"/>
      <w:snapToGrid w:val="0"/>
      <w:ind w:leftChars="750" w:left="1800" w:right="24" w:firstLineChars="169" w:firstLine="534"/>
      <w:jc w:val="both"/>
    </w:pPr>
    <w:rPr>
      <w:rFonts w:ascii="標楷體" w:eastAsia="標楷體" w:hAnsi="標楷體" w:cs="Times New Roman"/>
      <w:color w:val="FF0000"/>
      <w:spacing w:val="-2"/>
      <w:sz w:val="32"/>
      <w:szCs w:val="32"/>
      <w:lang w:val="zh-TW"/>
    </w:rPr>
  </w:style>
  <w:style w:type="paragraph" w:customStyle="1" w:styleId="ecmsonormal">
    <w:name w:val="ec_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9">
    <w:name w:val="_文章內文"/>
    <w:rsid w:val="00A52886"/>
    <w:pPr>
      <w:adjustRightInd w:val="0"/>
      <w:snapToGrid w:val="0"/>
      <w:spacing w:line="240" w:lineRule="atLeast"/>
      <w:ind w:left="360" w:hangingChars="150" w:hanging="360"/>
      <w:jc w:val="both"/>
    </w:pPr>
    <w:rPr>
      <w:rFonts w:ascii="Times New Roman" w:eastAsia="標楷體" w:hAnsi="Times New Roman" w:cs="Times New Roman"/>
      <w:sz w:val="24"/>
    </w:rPr>
  </w:style>
  <w:style w:type="paragraph" w:customStyle="1" w:styleId="PlainText2">
    <w:name w:val="Plain Text2"/>
    <w:basedOn w:val="a3"/>
    <w:rsid w:val="00A5288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ffffa">
    <w:name w:val="大寫壹"/>
    <w:basedOn w:val="a3"/>
    <w:rsid w:val="00A52886"/>
    <w:rPr>
      <w:rFonts w:ascii="Times New Roman" w:eastAsia="標楷體" w:hAnsi="Times New Roman" w:cs="Times New Roman"/>
      <w:bCs/>
      <w:sz w:val="40"/>
      <w:szCs w:val="24"/>
    </w:rPr>
  </w:style>
  <w:style w:type="paragraph" w:customStyle="1" w:styleId="afffffffb">
    <w:name w:val="最後排序"/>
    <w:basedOn w:val="a3"/>
    <w:rsid w:val="00A52886"/>
    <w:pPr>
      <w:snapToGrid w:val="0"/>
      <w:ind w:leftChars="402" w:left="1259" w:hangingChars="92" w:hanging="294"/>
      <w:jc w:val="both"/>
    </w:pPr>
    <w:rPr>
      <w:rFonts w:ascii="標楷體" w:eastAsia="標楷體" w:hAnsi="標楷體" w:cs="Times New Roman"/>
      <w:color w:val="FF0000"/>
      <w:sz w:val="32"/>
      <w:szCs w:val="32"/>
    </w:rPr>
  </w:style>
  <w:style w:type="paragraph" w:customStyle="1" w:styleId="cjk">
    <w:name w:val="cjk"/>
    <w:basedOn w:val="a3"/>
    <w:rsid w:val="00A52886"/>
    <w:pPr>
      <w:widowControl/>
      <w:spacing w:before="100" w:beforeAutospacing="1" w:line="544" w:lineRule="atLeast"/>
      <w:jc w:val="both"/>
    </w:pPr>
    <w:rPr>
      <w:rFonts w:ascii="標楷體" w:eastAsia="標楷體" w:hAnsi="標楷體" w:cs="新細明體"/>
      <w:kern w:val="0"/>
      <w:sz w:val="32"/>
      <w:szCs w:val="32"/>
    </w:rPr>
  </w:style>
  <w:style w:type="character" w:customStyle="1" w:styleId="WW-">
    <w:name w:val="WW-預設段落字型"/>
    <w:rsid w:val="00A52886"/>
  </w:style>
  <w:style w:type="paragraph" w:customStyle="1" w:styleId="Textbody">
    <w:name w:val="Text body"/>
    <w:rsid w:val="00A52886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標楷體"/>
      <w:spacing w:val="-2"/>
      <w:kern w:val="3"/>
      <w:sz w:val="28"/>
      <w:szCs w:val="28"/>
    </w:rPr>
  </w:style>
  <w:style w:type="paragraph" w:customStyle="1" w:styleId="afffffffc">
    <w:name w:val="標(一)"/>
    <w:basedOn w:val="Textbody"/>
    <w:rsid w:val="00A52886"/>
    <w:rPr>
      <w:b/>
      <w:bCs/>
    </w:rPr>
  </w:style>
  <w:style w:type="paragraph" w:customStyle="1" w:styleId="afffffffd">
    <w:name w:val="標(一)內文"/>
    <w:basedOn w:val="a3"/>
    <w:rsid w:val="00A52886"/>
    <w:pPr>
      <w:widowControl/>
      <w:spacing w:line="360" w:lineRule="exact"/>
      <w:ind w:leftChars="200" w:left="560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paragraph" w:customStyle="1" w:styleId="afffffffe">
    <w:name w:val="說明(一)"/>
    <w:basedOn w:val="a3"/>
    <w:link w:val="affffffff"/>
    <w:rsid w:val="00A52886"/>
    <w:pPr>
      <w:spacing w:line="420" w:lineRule="exact"/>
      <w:ind w:leftChars="200" w:left="500" w:hangingChars="300" w:hanging="30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affffffff">
    <w:name w:val="說明(一) 字元 字元"/>
    <w:link w:val="afffffffe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Standard">
    <w:name w:val="Standard"/>
    <w:rsid w:val="00A5288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 w:val="28"/>
    </w:rPr>
  </w:style>
  <w:style w:type="character" w:customStyle="1" w:styleId="fc1afb446a-d5d9-4015-a968-53794ad9ab9c-1">
    <w:name w:val="fc1afb446a-d5d9-4015-a968-53794ad9ab9c-1"/>
    <w:rsid w:val="00A52886"/>
  </w:style>
  <w:style w:type="character" w:customStyle="1" w:styleId="WW-1">
    <w:name w:val="WW-預設段落字型1"/>
    <w:rsid w:val="00A52886"/>
  </w:style>
  <w:style w:type="numbering" w:customStyle="1" w:styleId="WWNum12">
    <w:name w:val="WWNum12"/>
    <w:basedOn w:val="a6"/>
    <w:rsid w:val="00A52886"/>
    <w:pPr>
      <w:numPr>
        <w:numId w:val="8"/>
      </w:numPr>
    </w:pPr>
  </w:style>
  <w:style w:type="paragraph" w:customStyle="1" w:styleId="1fff0">
    <w:name w:val="標1"/>
    <w:basedOn w:val="a3"/>
    <w:link w:val="1fff1"/>
    <w:rsid w:val="00A52886"/>
    <w:pPr>
      <w:widowControl/>
      <w:spacing w:line="360" w:lineRule="exact"/>
      <w:ind w:left="839" w:hanging="278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character" w:customStyle="1" w:styleId="1fff1">
    <w:name w:val="標1 字元"/>
    <w:link w:val="1fff0"/>
    <w:rsid w:val="00A52886"/>
    <w:rPr>
      <w:rFonts w:ascii="Times New Roman" w:eastAsia="新細明體" w:hAnsi="標楷體" w:cs="Times New Roman"/>
      <w:spacing w:val="-2"/>
      <w:kern w:val="0"/>
      <w:sz w:val="20"/>
      <w:szCs w:val="28"/>
    </w:rPr>
  </w:style>
  <w:style w:type="numbering" w:customStyle="1" w:styleId="WWOutlineListStyle">
    <w:name w:val="WW_OutlineListStyle"/>
    <w:basedOn w:val="a6"/>
    <w:rsid w:val="00A52886"/>
    <w:pPr>
      <w:numPr>
        <w:numId w:val="9"/>
      </w:numPr>
    </w:pPr>
  </w:style>
  <w:style w:type="paragraph" w:styleId="a">
    <w:name w:val="No Spacing"/>
    <w:basedOn w:val="a3"/>
    <w:qFormat/>
    <w:rsid w:val="00A52886"/>
    <w:pPr>
      <w:numPr>
        <w:numId w:val="10"/>
      </w:numPr>
      <w:tabs>
        <w:tab w:val="left" w:pos="808"/>
      </w:tabs>
      <w:suppressAutoHyphens/>
      <w:autoSpaceDN w:val="0"/>
      <w:snapToGrid w:val="0"/>
      <w:spacing w:line="300" w:lineRule="exact"/>
      <w:jc w:val="both"/>
      <w:textAlignment w:val="baseline"/>
    </w:pPr>
    <w:rPr>
      <w:rFonts w:ascii="標楷體" w:eastAsia="標楷體" w:hAnsi="標楷體" w:cs="Times New Roman"/>
      <w:kern w:val="3"/>
      <w:sz w:val="28"/>
      <w:szCs w:val="20"/>
    </w:rPr>
  </w:style>
  <w:style w:type="numbering" w:customStyle="1" w:styleId="LFO5">
    <w:name w:val="LFO5"/>
    <w:basedOn w:val="a6"/>
    <w:rsid w:val="00A52886"/>
    <w:pPr>
      <w:numPr>
        <w:numId w:val="10"/>
      </w:numPr>
    </w:pPr>
  </w:style>
  <w:style w:type="paragraph" w:customStyle="1" w:styleId="1-">
    <w:name w:val="1.-內文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430" w:firstLine="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">
    <w:name w:val="(一)-內文"/>
    <w:basedOn w:val="afff2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330" w:left="330"/>
      <w:textAlignment w:val="auto"/>
    </w:pPr>
    <w:rPr>
      <w:rFonts w:ascii="標楷體" w:hAnsi="標楷體"/>
      <w:kern w:val="2"/>
      <w:szCs w:val="28"/>
    </w:rPr>
  </w:style>
  <w:style w:type="paragraph" w:customStyle="1" w:styleId="1-0">
    <w:name w:val="(1)-內文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585" w:firstLine="0"/>
      <w:textAlignment w:val="auto"/>
    </w:pPr>
    <w:rPr>
      <w:rFonts w:ascii="標楷體" w:hAnsi="標楷體"/>
      <w:kern w:val="2"/>
      <w:szCs w:val="28"/>
    </w:rPr>
  </w:style>
  <w:style w:type="paragraph" w:customStyle="1" w:styleId="affffffff0">
    <w:name w:val="a.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685" w:hangingChars="100" w:hanging="100"/>
      <w:textAlignment w:val="auto"/>
    </w:pPr>
    <w:rPr>
      <w:rFonts w:ascii="標楷體" w:hAnsi="標楷體"/>
      <w:kern w:val="2"/>
      <w:szCs w:val="28"/>
    </w:rPr>
  </w:style>
  <w:style w:type="paragraph" w:customStyle="1" w:styleId="-2">
    <w:name w:val="(十一)-內文"/>
    <w:basedOn w:val="-1"/>
    <w:uiPriority w:val="99"/>
    <w:rsid w:val="00A52886"/>
    <w:pPr>
      <w:ind w:leftChars="430" w:left="430"/>
    </w:pPr>
  </w:style>
  <w:style w:type="paragraph" w:customStyle="1" w:styleId="-10">
    <w:name w:val="(十一)-1.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530" w:hangingChars="100" w:hanging="10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1">
    <w:name w:val="(十一)-(1)"/>
    <w:basedOn w:val="-10"/>
    <w:uiPriority w:val="99"/>
    <w:rsid w:val="00A52886"/>
    <w:pPr>
      <w:ind w:leftChars="530" w:left="1872" w:hangingChars="150" w:hanging="413"/>
    </w:pPr>
  </w:style>
  <w:style w:type="paragraph" w:customStyle="1" w:styleId="-1-">
    <w:name w:val="(十一)-(1)-內文"/>
    <w:basedOn w:val="-11"/>
    <w:uiPriority w:val="99"/>
    <w:rsid w:val="00A52886"/>
    <w:pPr>
      <w:ind w:leftChars="680" w:left="1873" w:firstLineChars="0" w:firstLine="0"/>
    </w:pPr>
  </w:style>
  <w:style w:type="paragraph" w:customStyle="1" w:styleId="-A">
    <w:name w:val="(十一)-A."/>
    <w:basedOn w:val="-11"/>
    <w:uiPriority w:val="99"/>
    <w:rsid w:val="00A52886"/>
    <w:pPr>
      <w:ind w:leftChars="680" w:left="780" w:hangingChars="100" w:hanging="100"/>
    </w:pPr>
  </w:style>
  <w:style w:type="paragraph" w:customStyle="1" w:styleId="-1-0">
    <w:name w:val="(十一)-1.-內文"/>
    <w:basedOn w:val="-10"/>
    <w:uiPriority w:val="99"/>
    <w:rsid w:val="00A52886"/>
    <w:pPr>
      <w:ind w:leftChars="530" w:firstLineChars="0" w:firstLine="0"/>
    </w:pPr>
  </w:style>
  <w:style w:type="paragraph" w:customStyle="1" w:styleId="1-1">
    <w:name w:val="(1)-圈"/>
    <w:basedOn w:val="1f"/>
    <w:uiPriority w:val="99"/>
    <w:rsid w:val="00A52886"/>
    <w:pPr>
      <w:widowControl/>
      <w:suppressAutoHyphens w:val="0"/>
      <w:autoSpaceDN/>
      <w:adjustRightInd w:val="0"/>
      <w:snapToGrid w:val="0"/>
      <w:spacing w:line="325" w:lineRule="exact"/>
      <w:ind w:leftChars="100" w:left="200" w:hangingChars="100" w:hanging="100"/>
      <w:textAlignment w:val="auto"/>
    </w:pPr>
    <w:rPr>
      <w:rFonts w:ascii="標楷體"/>
      <w:kern w:val="0"/>
      <w:sz w:val="26"/>
      <w:szCs w:val="20"/>
    </w:rPr>
  </w:style>
  <w:style w:type="paragraph" w:customStyle="1" w:styleId="affffffff1">
    <w:name w:val="本文一"/>
    <w:basedOn w:val="ab"/>
    <w:uiPriority w:val="99"/>
    <w:rsid w:val="00A52886"/>
    <w:pPr>
      <w:adjustRightInd w:val="0"/>
      <w:snapToGrid w:val="0"/>
      <w:spacing w:line="386" w:lineRule="exact"/>
      <w:ind w:leftChars="20" w:left="220" w:rightChars="20" w:right="20" w:hangingChars="200" w:hanging="200"/>
      <w:jc w:val="both"/>
    </w:pPr>
    <w:rPr>
      <w:rFonts w:ascii="標楷體"/>
      <w:color w:val="000000"/>
      <w:kern w:val="0"/>
      <w:sz w:val="24"/>
      <w:lang w:val="x-none" w:eastAsia="x-none"/>
    </w:rPr>
  </w:style>
  <w:style w:type="character" w:customStyle="1" w:styleId="gray12h251">
    <w:name w:val="gray12_h251"/>
    <w:uiPriority w:val="99"/>
    <w:rsid w:val="00A52886"/>
    <w:rPr>
      <w:rFonts w:cs="Times New Roman"/>
      <w:color w:val="737373"/>
      <w:sz w:val="14"/>
      <w:szCs w:val="14"/>
      <w:u w:val="none"/>
      <w:effect w:val="none"/>
    </w:rPr>
  </w:style>
  <w:style w:type="paragraph" w:customStyle="1" w:styleId="2fb">
    <w:name w:val="字元 字元2"/>
    <w:basedOn w:val="a3"/>
    <w:uiPriority w:val="99"/>
    <w:rsid w:val="00A52886"/>
    <w:pPr>
      <w:widowControl/>
      <w:adjustRightInd w:val="0"/>
      <w:snapToGrid w:val="0"/>
      <w:spacing w:after="160" w:line="240" w:lineRule="exact"/>
      <w:jc w:val="both"/>
    </w:pPr>
    <w:rPr>
      <w:rFonts w:ascii="Tahoma" w:eastAsia="標楷體" w:hAnsi="Tahoma" w:cs="Tahoma"/>
      <w:kern w:val="0"/>
      <w:sz w:val="20"/>
      <w:szCs w:val="20"/>
      <w:lang w:eastAsia="en-US"/>
    </w:rPr>
  </w:style>
  <w:style w:type="paragraph" w:customStyle="1" w:styleId="1fff2">
    <w:name w:val="@1"/>
    <w:basedOn w:val="a3"/>
    <w:link w:val="1fff3"/>
    <w:rsid w:val="00F26E21"/>
    <w:pPr>
      <w:spacing w:afterLines="100" w:after="360"/>
      <w:jc w:val="center"/>
    </w:pPr>
    <w:rPr>
      <w:rFonts w:ascii="標楷體" w:eastAsia="標楷體"/>
      <w:b/>
      <w:sz w:val="96"/>
      <w:szCs w:val="96"/>
    </w:rPr>
  </w:style>
  <w:style w:type="paragraph" w:customStyle="1" w:styleId="3f2">
    <w:name w:val="@3"/>
    <w:basedOn w:val="af2"/>
    <w:link w:val="3f3"/>
    <w:rsid w:val="00F26E21"/>
    <w:pPr>
      <w:adjustRightInd w:val="0"/>
      <w:snapToGrid w:val="0"/>
      <w:jc w:val="both"/>
    </w:pPr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1fff3">
    <w:name w:val="@1 字元"/>
    <w:link w:val="1fff2"/>
    <w:rsid w:val="00F26E21"/>
    <w:rPr>
      <w:rFonts w:ascii="標楷體" w:eastAsia="標楷體"/>
      <w:b/>
      <w:sz w:val="96"/>
      <w:szCs w:val="96"/>
    </w:rPr>
  </w:style>
  <w:style w:type="paragraph" w:customStyle="1" w:styleId="4a">
    <w:name w:val="@4"/>
    <w:basedOn w:val="a3"/>
    <w:link w:val="4b"/>
    <w:rsid w:val="00F26E21"/>
    <w:pPr>
      <w:snapToGrid w:val="0"/>
      <w:ind w:leftChars="59" w:left="142"/>
      <w:jc w:val="both"/>
    </w:pPr>
    <w:rPr>
      <w:rFonts w:ascii="標楷體" w:eastAsia="標楷體" w:hAnsi="標楷體"/>
      <w:bCs/>
      <w:sz w:val="28"/>
      <w:szCs w:val="28"/>
    </w:rPr>
  </w:style>
  <w:style w:type="character" w:customStyle="1" w:styleId="3f3">
    <w:name w:val="@3 字元"/>
    <w:link w:val="3f2"/>
    <w:rsid w:val="00F26E21"/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4b">
    <w:name w:val="@4 字元"/>
    <w:link w:val="4a"/>
    <w:rsid w:val="00F26E21"/>
    <w:rPr>
      <w:rFonts w:ascii="標楷體" w:eastAsia="標楷體" w:hAnsi="標楷體"/>
      <w:bCs/>
      <w:sz w:val="28"/>
      <w:szCs w:val="28"/>
    </w:rPr>
  </w:style>
  <w:style w:type="paragraph" w:customStyle="1" w:styleId="58">
    <w:name w:val="@5"/>
    <w:basedOn w:val="a3"/>
    <w:link w:val="59"/>
    <w:rsid w:val="00C54BA2"/>
    <w:pPr>
      <w:snapToGrid w:val="0"/>
      <w:ind w:leftChars="177" w:left="425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0">
    <w:name w:val="@0"/>
    <w:basedOn w:val="a3"/>
    <w:link w:val="00"/>
    <w:rsid w:val="00C54BA2"/>
    <w:pPr>
      <w:snapToGrid w:val="0"/>
      <w:ind w:leftChars="292" w:left="707" w:hangingChars="2" w:hanging="6"/>
      <w:jc w:val="both"/>
    </w:pPr>
    <w:rPr>
      <w:rFonts w:ascii="標楷體" w:eastAsia="標楷體" w:hAnsi="標楷體"/>
      <w:sz w:val="28"/>
      <w:szCs w:val="28"/>
    </w:rPr>
  </w:style>
  <w:style w:type="character" w:customStyle="1" w:styleId="59">
    <w:name w:val="@5 字元"/>
    <w:link w:val="58"/>
    <w:rsid w:val="00C54BA2"/>
    <w:rPr>
      <w:rFonts w:ascii="標楷體" w:eastAsia="標楷體" w:hAnsi="標楷體"/>
      <w:bCs/>
      <w:sz w:val="28"/>
      <w:szCs w:val="28"/>
    </w:rPr>
  </w:style>
  <w:style w:type="paragraph" w:customStyle="1" w:styleId="63">
    <w:name w:val="@6"/>
    <w:basedOn w:val="a3"/>
    <w:link w:val="64"/>
    <w:rsid w:val="00C54BA2"/>
    <w:pPr>
      <w:snapToGrid w:val="0"/>
      <w:ind w:leftChars="178" w:left="850" w:hangingChars="151" w:hanging="423"/>
      <w:jc w:val="both"/>
    </w:pPr>
    <w:rPr>
      <w:rFonts w:ascii="標楷體" w:eastAsia="標楷體" w:hAnsi="標楷體"/>
      <w:sz w:val="28"/>
      <w:szCs w:val="28"/>
    </w:rPr>
  </w:style>
  <w:style w:type="character" w:customStyle="1" w:styleId="00">
    <w:name w:val="@0 字元"/>
    <w:link w:val="0"/>
    <w:rsid w:val="00C54BA2"/>
    <w:rPr>
      <w:rFonts w:ascii="標楷體" w:eastAsia="標楷體" w:hAnsi="標楷體"/>
      <w:sz w:val="28"/>
      <w:szCs w:val="28"/>
    </w:rPr>
  </w:style>
  <w:style w:type="character" w:customStyle="1" w:styleId="64">
    <w:name w:val="@6 字元"/>
    <w:link w:val="63"/>
    <w:rsid w:val="00C54BA2"/>
    <w:rPr>
      <w:rFonts w:ascii="標楷體" w:eastAsia="標楷體" w:hAnsi="標楷體"/>
      <w:sz w:val="28"/>
      <w:szCs w:val="28"/>
    </w:rPr>
  </w:style>
  <w:style w:type="paragraph" w:customStyle="1" w:styleId="affffffff2">
    <w:name w:val="@內文"/>
    <w:basedOn w:val="a3"/>
    <w:link w:val="affffffff3"/>
    <w:qFormat/>
    <w:rsid w:val="00E62E84"/>
    <w:pPr>
      <w:spacing w:line="360" w:lineRule="exact"/>
    </w:pPr>
    <w:rPr>
      <w:rFonts w:ascii="標楷體" w:eastAsia="標楷體" w:hAnsi="標楷體"/>
      <w:sz w:val="28"/>
      <w:szCs w:val="28"/>
    </w:rPr>
  </w:style>
  <w:style w:type="paragraph" w:customStyle="1" w:styleId="affffffff4">
    <w:name w:val="@大大標"/>
    <w:basedOn w:val="a3"/>
    <w:link w:val="affffffff5"/>
    <w:qFormat/>
    <w:rsid w:val="00E62E84"/>
    <w:pPr>
      <w:jc w:val="center"/>
    </w:pPr>
    <w:rPr>
      <w:rFonts w:ascii="標楷體" w:eastAsia="標楷體" w:hAnsi="標楷體"/>
      <w:b/>
      <w:sz w:val="96"/>
      <w:szCs w:val="96"/>
    </w:rPr>
  </w:style>
  <w:style w:type="character" w:customStyle="1" w:styleId="affffffff3">
    <w:name w:val="@內文 字元"/>
    <w:link w:val="affffffff2"/>
    <w:rsid w:val="00E62E84"/>
    <w:rPr>
      <w:rFonts w:ascii="標楷體" w:eastAsia="標楷體" w:hAnsi="標楷體"/>
      <w:sz w:val="28"/>
      <w:szCs w:val="28"/>
    </w:rPr>
  </w:style>
  <w:style w:type="paragraph" w:customStyle="1" w:styleId="affffffff6">
    <w:name w:val="@大標"/>
    <w:basedOn w:val="a3"/>
    <w:link w:val="affffffff7"/>
    <w:qFormat/>
    <w:rsid w:val="00453AEE"/>
    <w:pPr>
      <w:spacing w:before="120" w:after="120" w:line="360" w:lineRule="exact"/>
    </w:pPr>
    <w:rPr>
      <w:rFonts w:ascii="新細明體" w:hAnsi="新細明體"/>
      <w:b/>
      <w:sz w:val="40"/>
      <w:szCs w:val="40"/>
    </w:rPr>
  </w:style>
  <w:style w:type="character" w:customStyle="1" w:styleId="affffffff5">
    <w:name w:val="@大大標 字元"/>
    <w:link w:val="affffffff4"/>
    <w:rsid w:val="00E62E84"/>
    <w:rPr>
      <w:rFonts w:ascii="標楷體" w:eastAsia="標楷體" w:hAnsi="標楷體"/>
      <w:b/>
      <w:sz w:val="96"/>
      <w:szCs w:val="96"/>
    </w:rPr>
  </w:style>
  <w:style w:type="paragraph" w:customStyle="1" w:styleId="affffffff8">
    <w:name w:val="@中標"/>
    <w:basedOn w:val="a3"/>
    <w:link w:val="affffffff9"/>
    <w:qFormat/>
    <w:rsid w:val="00E62E84"/>
    <w:pPr>
      <w:spacing w:line="36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affffffff7">
    <w:name w:val="@大標 字元"/>
    <w:link w:val="affffffff6"/>
    <w:rsid w:val="00453AEE"/>
    <w:rPr>
      <w:rFonts w:ascii="新細明體" w:eastAsia="新細明體" w:hAnsi="新細明體"/>
      <w:b/>
      <w:sz w:val="40"/>
      <w:szCs w:val="40"/>
    </w:rPr>
  </w:style>
  <w:style w:type="paragraph" w:customStyle="1" w:styleId="affffffffa">
    <w:name w:val="@小標"/>
    <w:basedOn w:val="a3"/>
    <w:link w:val="affffffffb"/>
    <w:qFormat/>
    <w:rsid w:val="00E62E84"/>
    <w:pPr>
      <w:spacing w:line="360" w:lineRule="exact"/>
      <w:ind w:leftChars="100" w:left="240" w:rightChars="100" w:right="100"/>
    </w:pPr>
    <w:rPr>
      <w:rFonts w:ascii="標楷體" w:eastAsia="標楷體" w:hAnsi="標楷體"/>
      <w:sz w:val="28"/>
      <w:szCs w:val="28"/>
    </w:rPr>
  </w:style>
  <w:style w:type="character" w:customStyle="1" w:styleId="affffffff9">
    <w:name w:val="@中標 字元"/>
    <w:link w:val="affffffff8"/>
    <w:rsid w:val="00E62E84"/>
    <w:rPr>
      <w:rFonts w:ascii="標楷體" w:eastAsia="標楷體" w:hAnsi="標楷體"/>
      <w:b/>
      <w:sz w:val="28"/>
      <w:szCs w:val="28"/>
    </w:rPr>
  </w:style>
  <w:style w:type="character" w:customStyle="1" w:styleId="affffffffb">
    <w:name w:val="@小標 字元"/>
    <w:link w:val="affffffffa"/>
    <w:rsid w:val="00E62E84"/>
    <w:rPr>
      <w:rFonts w:ascii="標楷體" w:eastAsia="標楷體" w:hAnsi="標楷體"/>
      <w:sz w:val="28"/>
      <w:szCs w:val="28"/>
    </w:rPr>
  </w:style>
  <w:style w:type="paragraph" w:customStyle="1" w:styleId="affffffffc">
    <w:name w:val="@註"/>
    <w:basedOn w:val="a3"/>
    <w:link w:val="affffffffd"/>
    <w:qFormat/>
    <w:rsid w:val="006B59CF"/>
    <w:pPr>
      <w:spacing w:line="360" w:lineRule="exact"/>
      <w:jc w:val="right"/>
    </w:pPr>
    <w:rPr>
      <w:rFonts w:ascii="新細明體" w:hAnsi="新細明體"/>
      <w:szCs w:val="24"/>
    </w:rPr>
  </w:style>
  <w:style w:type="character" w:customStyle="1" w:styleId="affffffffd">
    <w:name w:val="@註 字元"/>
    <w:link w:val="affffffffc"/>
    <w:rsid w:val="006B59CF"/>
    <w:rPr>
      <w:rFonts w:ascii="新細明體" w:hAnsi="新細明體"/>
      <w:szCs w:val="24"/>
    </w:rPr>
  </w:style>
  <w:style w:type="paragraph" w:customStyle="1" w:styleId="1-4">
    <w:name w:val="1.-縮4"/>
    <w:basedOn w:val="1d"/>
    <w:rsid w:val="00B217E9"/>
    <w:pPr>
      <w:suppressAutoHyphens w:val="0"/>
      <w:autoSpaceDN/>
      <w:adjustRightInd w:val="0"/>
      <w:snapToGrid w:val="0"/>
      <w:spacing w:before="0" w:after="0" w:line="404" w:lineRule="exact"/>
      <w:ind w:leftChars="300" w:left="700" w:hangingChars="400" w:hanging="40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styleId="affffffffe">
    <w:name w:val="List Paragraph"/>
    <w:basedOn w:val="a3"/>
    <w:uiPriority w:val="34"/>
    <w:qFormat/>
    <w:rsid w:val="006173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03CA-F476-4628-86E7-B36474D0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2599</Words>
  <Characters>2626</Characters>
  <Application>Microsoft Office Word</Application>
  <DocSecurity>0</DocSecurity>
  <Lines>262</Lines>
  <Paragraphs>180</Paragraphs>
  <ScaleCrop>false</ScaleCrop>
  <Company>Hewlett-Packard Company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壹、民  政</dc:title>
  <dc:creator>user</dc:creator>
  <cp:lastModifiedBy>User</cp:lastModifiedBy>
  <cp:revision>9</cp:revision>
  <cp:lastPrinted>2023-02-03T09:19:00Z</cp:lastPrinted>
  <dcterms:created xsi:type="dcterms:W3CDTF">2023-02-03T09:19:00Z</dcterms:created>
  <dcterms:modified xsi:type="dcterms:W3CDTF">2023-02-09T09:48:00Z</dcterms:modified>
</cp:coreProperties>
</file>