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E6" w:rsidRPr="00285AC6" w:rsidRDefault="00A52886" w:rsidP="00C9468E">
      <w:pPr>
        <w:spacing w:afterLines="100" w:after="360"/>
        <w:jc w:val="center"/>
        <w:rPr>
          <w:rFonts w:ascii="標楷體" w:eastAsia="標楷體" w:hAnsi="標楷體" w:cs="Times New Roman"/>
          <w:b/>
          <w:color w:val="000000" w:themeColor="text1"/>
          <w:sz w:val="54"/>
          <w:szCs w:val="54"/>
        </w:rPr>
      </w:pPr>
      <w:bookmarkStart w:id="0" w:name="_GoBack"/>
      <w:r w:rsidRPr="00285AC6">
        <w:rPr>
          <w:rFonts w:ascii="標楷體" w:eastAsia="標楷體" w:hAnsi="標楷體" w:cs="Times New Roman" w:hint="eastAsia"/>
          <w:b/>
          <w:color w:val="000000" w:themeColor="text1"/>
          <w:sz w:val="54"/>
          <w:szCs w:val="54"/>
        </w:rPr>
        <w:t>拾貳、勞  工</w:t>
      </w: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 xml:space="preserve">一、勞工組織 </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一</w:t>
      </w:r>
      <w:r w:rsidRPr="00285AC6">
        <w:rPr>
          <w:rFonts w:hint="eastAsia"/>
          <w:b w:val="0"/>
          <w:color w:val="000000" w:themeColor="text1"/>
        </w:rPr>
        <w:t>)</w:t>
      </w:r>
      <w:r w:rsidR="00A52886" w:rsidRPr="00285AC6">
        <w:rPr>
          <w:rFonts w:hint="eastAsia"/>
          <w:b w:val="0"/>
          <w:color w:val="000000" w:themeColor="text1"/>
        </w:rPr>
        <w:t>勞工組訓</w:t>
      </w:r>
    </w:p>
    <w:p w:rsidR="001E7CC6" w:rsidRPr="00285AC6" w:rsidRDefault="001E7CC6" w:rsidP="00FD21AE">
      <w:pPr>
        <w:pStyle w:val="affffffff2"/>
        <w:spacing w:line="390" w:lineRule="exact"/>
        <w:ind w:leftChars="340" w:left="816"/>
        <w:jc w:val="both"/>
        <w:rPr>
          <w:color w:val="000000" w:themeColor="text1"/>
        </w:rPr>
      </w:pPr>
      <w:r w:rsidRPr="00285AC6">
        <w:rPr>
          <w:rFonts w:hint="eastAsia"/>
          <w:color w:val="000000" w:themeColor="text1"/>
        </w:rPr>
        <w:t>截至109年12月底，本市工會家數計849家，另本府勞工局針對輔導各類型工會組織與召開法定會議，109年7月至12月成果如下：</w:t>
      </w:r>
    </w:p>
    <w:p w:rsidR="00A52886" w:rsidRPr="00285AC6" w:rsidRDefault="001E7CC6" w:rsidP="0071148E">
      <w:pPr>
        <w:pStyle w:val="affffffff2"/>
        <w:spacing w:line="390" w:lineRule="exact"/>
        <w:ind w:leftChars="340" w:left="816"/>
        <w:jc w:val="both"/>
        <w:rPr>
          <w:color w:val="000000" w:themeColor="text1"/>
        </w:rPr>
      </w:pPr>
      <w:r w:rsidRPr="00285AC6">
        <w:rPr>
          <w:rFonts w:hint="eastAsia"/>
          <w:color w:val="000000" w:themeColor="text1"/>
        </w:rPr>
        <w:t>1.各級工會成立情形</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51"/>
        <w:gridCol w:w="2074"/>
        <w:gridCol w:w="1456"/>
        <w:gridCol w:w="1456"/>
        <w:gridCol w:w="1456"/>
        <w:gridCol w:w="1293"/>
      </w:tblGrid>
      <w:tr w:rsidR="00285AC6" w:rsidRPr="00285AC6" w:rsidTr="00A52CC2">
        <w:trPr>
          <w:trHeight w:val="691"/>
          <w:jc w:val="center"/>
        </w:trPr>
        <w:tc>
          <w:tcPr>
            <w:tcW w:w="835" w:type="pct"/>
            <w:tcBorders>
              <w:top w:val="single" w:sz="12" w:space="0" w:color="auto"/>
              <w:bottom w:val="single" w:sz="6" w:space="0" w:color="auto"/>
              <w:tl2br w:val="single" w:sz="6" w:space="0" w:color="auto"/>
            </w:tcBorders>
          </w:tcPr>
          <w:p w:rsidR="001E7CC6" w:rsidRPr="00285AC6" w:rsidRDefault="001E7CC6" w:rsidP="0071148E">
            <w:pPr>
              <w:spacing w:line="390" w:lineRule="exact"/>
              <w:jc w:val="right"/>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類別</w:t>
            </w:r>
          </w:p>
          <w:p w:rsidR="001E7CC6" w:rsidRPr="00285AC6" w:rsidRDefault="001E7CC6" w:rsidP="0071148E">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數量</w:t>
            </w:r>
          </w:p>
        </w:tc>
        <w:tc>
          <w:tcPr>
            <w:tcW w:w="1117"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工會聯合組織</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企業工會</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產業工會</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職業工會</w:t>
            </w:r>
          </w:p>
        </w:tc>
        <w:tc>
          <w:tcPr>
            <w:tcW w:w="696"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r>
      <w:tr w:rsidR="00285AC6" w:rsidRPr="00285AC6" w:rsidTr="00A52CC2">
        <w:trPr>
          <w:trHeight w:val="285"/>
          <w:jc w:val="center"/>
        </w:trPr>
        <w:tc>
          <w:tcPr>
            <w:tcW w:w="835" w:type="pct"/>
            <w:tcBorders>
              <w:top w:val="single" w:sz="6" w:space="0" w:color="auto"/>
            </w:tcBorders>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家數</w:t>
            </w:r>
          </w:p>
        </w:tc>
        <w:tc>
          <w:tcPr>
            <w:tcW w:w="1117"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20</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156</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45</w:t>
            </w:r>
          </w:p>
        </w:tc>
        <w:tc>
          <w:tcPr>
            <w:tcW w:w="784"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6</w:t>
            </w:r>
            <w:r w:rsidRPr="00285AC6">
              <w:rPr>
                <w:rFonts w:ascii="標楷體" w:eastAsia="標楷體" w:hAnsi="標楷體" w:hint="eastAsia"/>
                <w:color w:val="000000" w:themeColor="text1"/>
                <w:sz w:val="28"/>
                <w:szCs w:val="28"/>
              </w:rPr>
              <w:t>28</w:t>
            </w:r>
          </w:p>
        </w:tc>
        <w:tc>
          <w:tcPr>
            <w:tcW w:w="696"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8</w:t>
            </w:r>
            <w:r w:rsidRPr="00285AC6">
              <w:rPr>
                <w:rFonts w:ascii="標楷體" w:eastAsia="標楷體" w:hAnsi="標楷體" w:hint="eastAsia"/>
                <w:color w:val="000000" w:themeColor="text1"/>
                <w:sz w:val="28"/>
                <w:szCs w:val="28"/>
              </w:rPr>
              <w:t>49</w:t>
            </w:r>
          </w:p>
        </w:tc>
      </w:tr>
    </w:tbl>
    <w:p w:rsidR="00A52886" w:rsidRPr="00285AC6" w:rsidRDefault="003510F9"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r w:rsidR="00A52886" w:rsidRPr="00285AC6">
        <w:rPr>
          <w:rFonts w:ascii="標楷體" w:eastAsia="標楷體" w:hAnsi="標楷體" w:hint="eastAsia"/>
          <w:color w:val="000000" w:themeColor="text1"/>
          <w:sz w:val="28"/>
          <w:szCs w:val="28"/>
        </w:rPr>
        <w:t>各級工會組織召開法定會議統計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430"/>
        <w:gridCol w:w="2074"/>
        <w:gridCol w:w="1631"/>
        <w:gridCol w:w="1831"/>
        <w:gridCol w:w="1320"/>
      </w:tblGrid>
      <w:tr w:rsidR="00285AC6" w:rsidRPr="00285AC6" w:rsidTr="005D73CC">
        <w:trPr>
          <w:trHeight w:val="551"/>
          <w:jc w:val="center"/>
        </w:trPr>
        <w:tc>
          <w:tcPr>
            <w:tcW w:w="1308" w:type="pct"/>
            <w:tcBorders>
              <w:top w:val="single" w:sz="12" w:space="0" w:color="auto"/>
              <w:bottom w:val="single" w:sz="6" w:space="0" w:color="auto"/>
              <w:tl2br w:val="single" w:sz="6" w:space="0" w:color="auto"/>
            </w:tcBorders>
            <w:vAlign w:val="center"/>
          </w:tcPr>
          <w:p w:rsidR="001E7CC6" w:rsidRPr="00285AC6" w:rsidRDefault="001E7CC6" w:rsidP="0071148E">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       會議別</w:t>
            </w:r>
          </w:p>
          <w:p w:rsidR="001E7CC6" w:rsidRPr="00285AC6" w:rsidRDefault="001E7CC6" w:rsidP="0071148E">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次數</w:t>
            </w:r>
          </w:p>
        </w:tc>
        <w:tc>
          <w:tcPr>
            <w:tcW w:w="1117"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會員(代表)</w:t>
            </w:r>
          </w:p>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大會</w:t>
            </w:r>
          </w:p>
        </w:tc>
        <w:tc>
          <w:tcPr>
            <w:tcW w:w="878"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理事會</w:t>
            </w:r>
          </w:p>
        </w:tc>
        <w:tc>
          <w:tcPr>
            <w:tcW w:w="986"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監事會</w:t>
            </w:r>
          </w:p>
        </w:tc>
        <w:tc>
          <w:tcPr>
            <w:tcW w:w="711"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r>
      <w:tr w:rsidR="00285AC6" w:rsidRPr="00285AC6" w:rsidTr="005D73CC">
        <w:trPr>
          <w:trHeight w:val="194"/>
          <w:jc w:val="center"/>
        </w:trPr>
        <w:tc>
          <w:tcPr>
            <w:tcW w:w="1308" w:type="pct"/>
            <w:tcBorders>
              <w:top w:val="single" w:sz="6" w:space="0" w:color="auto"/>
            </w:tcBorders>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會次</w:t>
            </w:r>
          </w:p>
        </w:tc>
        <w:tc>
          <w:tcPr>
            <w:tcW w:w="1117"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306</w:t>
            </w:r>
          </w:p>
        </w:tc>
        <w:tc>
          <w:tcPr>
            <w:tcW w:w="878"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221</w:t>
            </w:r>
          </w:p>
        </w:tc>
        <w:tc>
          <w:tcPr>
            <w:tcW w:w="986"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651</w:t>
            </w:r>
          </w:p>
        </w:tc>
        <w:tc>
          <w:tcPr>
            <w:tcW w:w="711" w:type="pct"/>
            <w:vAlign w:val="center"/>
          </w:tcPr>
          <w:p w:rsidR="001E7CC6" w:rsidRPr="00285AC6" w:rsidRDefault="001E7CC6"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178</w:t>
            </w:r>
          </w:p>
        </w:tc>
      </w:tr>
    </w:tbl>
    <w:p w:rsidR="00A52886" w:rsidRPr="00285AC6" w:rsidRDefault="001E7CC6"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w:t>
      </w: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9年7月至12月計高雄市網路自媒體從業人員職業工會、長春石油化學股份有限公司企業工會、台灣創意烘培中西餐飲產業工會等3家工會成立。</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二</w:t>
      </w:r>
      <w:r w:rsidRPr="00285AC6">
        <w:rPr>
          <w:rFonts w:hint="eastAsia"/>
          <w:b w:val="0"/>
          <w:color w:val="000000" w:themeColor="text1"/>
        </w:rPr>
        <w:t>)</w:t>
      </w:r>
      <w:r w:rsidR="00A52886" w:rsidRPr="00285AC6">
        <w:rPr>
          <w:rFonts w:hint="eastAsia"/>
          <w:b w:val="0"/>
          <w:color w:val="000000" w:themeColor="text1"/>
        </w:rPr>
        <w:t>勞工教育輔導</w:t>
      </w:r>
    </w:p>
    <w:p w:rsidR="003510F9" w:rsidRPr="00285AC6" w:rsidRDefault="003510F9"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00A52886" w:rsidRPr="00285AC6">
        <w:rPr>
          <w:rFonts w:ascii="標楷體" w:eastAsia="標楷體" w:hAnsi="標楷體" w:hint="eastAsia"/>
          <w:color w:val="000000" w:themeColor="text1"/>
          <w:sz w:val="28"/>
          <w:szCs w:val="28"/>
        </w:rPr>
        <w:t>工會輔導</w:t>
      </w:r>
    </w:p>
    <w:p w:rsidR="001E7CC6" w:rsidRPr="00285AC6" w:rsidRDefault="001E7CC6"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w:t>
      </w:r>
      <w:r w:rsidRPr="00285AC6">
        <w:rPr>
          <w:color w:val="000000" w:themeColor="text1"/>
        </w:rPr>
        <w:t>1</w:t>
      </w:r>
      <w:r w:rsidRPr="00285AC6">
        <w:rPr>
          <w:rFonts w:hint="eastAsia"/>
          <w:color w:val="000000" w:themeColor="text1"/>
        </w:rPr>
        <w:t>)補助本市各級工會辦理勞工教育</w:t>
      </w:r>
      <w:r w:rsidRPr="00285AC6">
        <w:rPr>
          <w:color w:val="000000" w:themeColor="text1"/>
        </w:rPr>
        <w:br/>
        <w:t>1</w:t>
      </w:r>
      <w:r w:rsidRPr="00285AC6">
        <w:rPr>
          <w:rFonts w:hint="eastAsia"/>
          <w:color w:val="000000" w:themeColor="text1"/>
        </w:rPr>
        <w:t>0</w:t>
      </w:r>
      <w:r w:rsidRPr="00285AC6">
        <w:rPr>
          <w:color w:val="000000" w:themeColor="text1"/>
        </w:rPr>
        <w:t>9</w:t>
      </w:r>
      <w:r w:rsidRPr="00285AC6">
        <w:rPr>
          <w:rFonts w:hint="eastAsia"/>
          <w:color w:val="000000" w:themeColor="text1"/>
        </w:rPr>
        <w:t>年7月至12月計補助工會聯合組織及基層工會辦理120場次勞工教育活動，補助金額計新臺幣775萬元。</w:t>
      </w:r>
    </w:p>
    <w:p w:rsidR="00034CD6" w:rsidRPr="00285AC6" w:rsidRDefault="001E7CC6"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w:t>
      </w:r>
      <w:r w:rsidRPr="00285AC6">
        <w:rPr>
          <w:color w:val="000000" w:themeColor="text1"/>
        </w:rPr>
        <w:t>2</w:t>
      </w:r>
      <w:r w:rsidRPr="00285AC6">
        <w:rPr>
          <w:rFonts w:hint="eastAsia"/>
          <w:color w:val="000000" w:themeColor="text1"/>
        </w:rPr>
        <w:t>)補助高雄市總工會發行聯合會訊7萬5</w:t>
      </w:r>
      <w:r w:rsidRPr="00285AC6">
        <w:rPr>
          <w:color w:val="000000" w:themeColor="text1"/>
        </w:rPr>
        <w:t>,</w:t>
      </w:r>
      <w:r w:rsidRPr="00285AC6">
        <w:rPr>
          <w:rFonts w:hint="eastAsia"/>
          <w:color w:val="000000" w:themeColor="text1"/>
        </w:rPr>
        <w:t>000元及高雄市產業總工會發行聯合會訊11萬5</w:t>
      </w:r>
      <w:r w:rsidRPr="00285AC6">
        <w:rPr>
          <w:color w:val="000000" w:themeColor="text1"/>
        </w:rPr>
        <w:t>,</w:t>
      </w:r>
      <w:r w:rsidRPr="00285AC6">
        <w:rPr>
          <w:rFonts w:hint="eastAsia"/>
          <w:color w:val="000000" w:themeColor="text1"/>
        </w:rPr>
        <w:t>000元。</w:t>
      </w:r>
    </w:p>
    <w:p w:rsidR="00D76D25" w:rsidRPr="00285AC6" w:rsidRDefault="00D76D25"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2.辦理勞工教育</w:t>
      </w:r>
    </w:p>
    <w:p w:rsidR="001E7CC6" w:rsidRPr="00285AC6" w:rsidRDefault="001E7CC6"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w:t>
      </w:r>
      <w:r w:rsidRPr="00285AC6">
        <w:rPr>
          <w:color w:val="000000" w:themeColor="text1"/>
        </w:rPr>
        <w:t>1</w:t>
      </w:r>
      <w:r w:rsidRPr="00285AC6">
        <w:rPr>
          <w:rFonts w:hint="eastAsia"/>
          <w:color w:val="000000" w:themeColor="text1"/>
        </w:rPr>
        <w:t>)辦理</w:t>
      </w:r>
      <w:r w:rsidRPr="00285AC6">
        <w:rPr>
          <w:color w:val="000000" w:themeColor="text1"/>
        </w:rPr>
        <w:t>109</w:t>
      </w:r>
      <w:r w:rsidRPr="00285AC6">
        <w:rPr>
          <w:rFonts w:hint="eastAsia"/>
          <w:color w:val="000000" w:themeColor="text1"/>
        </w:rPr>
        <w:t>年度高中職「勞動法制教育」校園巡迴演講，7月至12月計辦理25場次。</w:t>
      </w:r>
    </w:p>
    <w:p w:rsidR="00D76D25" w:rsidRPr="00285AC6" w:rsidRDefault="001E7CC6" w:rsidP="0071148E">
      <w:pPr>
        <w:pStyle w:val="affffffffa"/>
        <w:spacing w:line="390" w:lineRule="exact"/>
        <w:ind w:leftChars="440" w:left="1476" w:rightChars="0" w:right="0" w:hangingChars="150" w:hanging="420"/>
        <w:jc w:val="both"/>
        <w:rPr>
          <w:color w:val="000000" w:themeColor="text1"/>
        </w:rPr>
      </w:pPr>
      <w:r w:rsidRPr="00285AC6">
        <w:rPr>
          <w:color w:val="000000" w:themeColor="text1"/>
        </w:rPr>
        <w:t>(</w:t>
      </w:r>
      <w:r w:rsidRPr="00285AC6">
        <w:rPr>
          <w:rFonts w:hint="eastAsia"/>
          <w:color w:val="000000" w:themeColor="text1"/>
        </w:rPr>
        <w:t>2</w:t>
      </w:r>
      <w:r w:rsidRPr="00285AC6">
        <w:rPr>
          <w:color w:val="000000" w:themeColor="text1"/>
        </w:rPr>
        <w:t>)</w:t>
      </w:r>
      <w:r w:rsidRPr="00285AC6">
        <w:rPr>
          <w:rFonts w:hint="eastAsia"/>
          <w:color w:val="000000" w:themeColor="text1"/>
        </w:rPr>
        <w:t>109</w:t>
      </w:r>
      <w:r w:rsidRPr="00285AC6">
        <w:rPr>
          <w:color w:val="000000" w:themeColor="text1"/>
        </w:rPr>
        <w:t>年度</w:t>
      </w:r>
      <w:r w:rsidRPr="00285AC6">
        <w:rPr>
          <w:rFonts w:hint="eastAsia"/>
          <w:color w:val="000000" w:themeColor="text1"/>
        </w:rPr>
        <w:t>下</w:t>
      </w:r>
      <w:r w:rsidRPr="00285AC6">
        <w:rPr>
          <w:color w:val="000000" w:themeColor="text1"/>
        </w:rPr>
        <w:t>半年</w:t>
      </w:r>
      <w:r w:rsidRPr="00285AC6">
        <w:rPr>
          <w:rFonts w:hint="eastAsia"/>
          <w:color w:val="000000" w:themeColor="text1"/>
        </w:rPr>
        <w:t>印製最新版勞動就業叢書全冊共1</w:t>
      </w:r>
      <w:r w:rsidR="00FA58C9" w:rsidRPr="00285AC6">
        <w:rPr>
          <w:rFonts w:hint="eastAsia"/>
          <w:color w:val="000000" w:themeColor="text1"/>
        </w:rPr>
        <w:t>,</w:t>
      </w:r>
      <w:r w:rsidRPr="00285AC6">
        <w:rPr>
          <w:rFonts w:hint="eastAsia"/>
          <w:color w:val="000000" w:themeColor="text1"/>
        </w:rPr>
        <w:t>000份。</w:t>
      </w:r>
    </w:p>
    <w:p w:rsidR="00FA58C9" w:rsidRPr="00285AC6" w:rsidRDefault="00FA58C9" w:rsidP="0071148E">
      <w:pPr>
        <w:spacing w:line="390" w:lineRule="exact"/>
        <w:ind w:left="1476" w:hanging="42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(3)</w:t>
      </w:r>
      <w:r w:rsidRPr="00285AC6">
        <w:rPr>
          <w:rFonts w:hint="eastAsia"/>
          <w:color w:val="000000" w:themeColor="text1"/>
        </w:rPr>
        <w:t xml:space="preserve"> </w:t>
      </w:r>
      <w:r w:rsidRPr="00285AC6">
        <w:rPr>
          <w:rFonts w:ascii="標楷體" w:eastAsia="標楷體" w:hAnsi="標楷體" w:hint="eastAsia"/>
          <w:color w:val="000000" w:themeColor="text1"/>
          <w:sz w:val="28"/>
          <w:szCs w:val="28"/>
        </w:rPr>
        <w:t>109年度下半年出刊勞工雙月刊-「工代誌」3期、特別號1期，</w:t>
      </w:r>
      <w:r w:rsidR="00765317" w:rsidRPr="00285AC6">
        <w:rPr>
          <w:rFonts w:ascii="標楷體" w:eastAsia="標楷體" w:hAnsi="標楷體" w:hint="eastAsia"/>
          <w:color w:val="000000" w:themeColor="text1"/>
          <w:sz w:val="28"/>
          <w:szCs w:val="28"/>
        </w:rPr>
        <w:t>內容包括</w:t>
      </w:r>
      <w:r w:rsidRPr="00285AC6">
        <w:rPr>
          <w:rFonts w:ascii="標楷體" w:eastAsia="標楷體" w:hAnsi="標楷體" w:hint="eastAsia"/>
          <w:color w:val="000000" w:themeColor="text1"/>
          <w:sz w:val="28"/>
          <w:szCs w:val="28"/>
        </w:rPr>
        <w:t>勞工權益法規、職災防範、勞動文化、勞工保險給付、就業案例分享等，促進民眾瞭解自身勞動權益。</w:t>
      </w:r>
    </w:p>
    <w:p w:rsidR="00A52886" w:rsidRPr="00285AC6" w:rsidRDefault="00FA58C9" w:rsidP="0071148E">
      <w:pPr>
        <w:spacing w:line="390" w:lineRule="exact"/>
        <w:ind w:left="1476" w:hanging="42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4</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辦理勞工大學，設有勞動事務部與勞工學苑部兩類課程，勞工學苑部分為工作技藝、時尚技能、休閒育樂及生活應用等4類，109年7月至12月(第39、40期)開辦203班，計有勞工朋友</w:t>
      </w:r>
      <w:r w:rsidRPr="00285AC6">
        <w:rPr>
          <w:rFonts w:ascii="標楷體" w:eastAsia="標楷體" w:hAnsi="標楷體" w:hint="eastAsia"/>
          <w:color w:val="000000" w:themeColor="text1"/>
          <w:sz w:val="28"/>
          <w:szCs w:val="28"/>
        </w:rPr>
        <w:lastRenderedPageBreak/>
        <w:t>及眷屬3,260人次參加；勞動事務部開設「勞動法上的民法基礎概念(勞動法進階班)」1班，共計勞工朋友48人次參加。</w:t>
      </w:r>
    </w:p>
    <w:p w:rsidR="00C9468E" w:rsidRPr="00285AC6" w:rsidRDefault="00C9468E" w:rsidP="0071148E">
      <w:pPr>
        <w:spacing w:line="390" w:lineRule="exact"/>
        <w:ind w:left="1476" w:hanging="420"/>
        <w:jc w:val="both"/>
        <w:rPr>
          <w:rFonts w:ascii="標楷體" w:eastAsia="標楷體" w:hAnsi="標楷體"/>
          <w:color w:val="000000" w:themeColor="text1"/>
          <w:sz w:val="28"/>
          <w:szCs w:val="28"/>
        </w:rPr>
      </w:pP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二、勞動條件</w:t>
      </w:r>
    </w:p>
    <w:p w:rsidR="00A52CC2" w:rsidRPr="00285AC6" w:rsidRDefault="00A52CC2"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(一)實施勞動條件檢查</w:t>
      </w:r>
    </w:p>
    <w:p w:rsidR="00A52CC2" w:rsidRPr="00285AC6" w:rsidRDefault="00A52CC2" w:rsidP="0071148E">
      <w:pPr>
        <w:pStyle w:val="affffffff2"/>
        <w:spacing w:line="390" w:lineRule="exact"/>
        <w:ind w:leftChars="340" w:left="816"/>
        <w:jc w:val="both"/>
        <w:rPr>
          <w:color w:val="000000" w:themeColor="text1"/>
        </w:rPr>
      </w:pPr>
      <w:r w:rsidRPr="00285AC6">
        <w:rPr>
          <w:rFonts w:hint="eastAsia"/>
          <w:color w:val="000000" w:themeColor="text1"/>
        </w:rPr>
        <w:t>109年7月至12月實施申訴、專案及會同勞動檢查計1,158家事業單位；另針對微、中、小型企業，配合勞動部「109下半年勞動條件落實法遵實施計畫」，以一對一、外展服務模式入場輔導，採客製化協助個別事業單位了解、熟悉、符合勞動基準法規定，計有1,008家。</w:t>
      </w:r>
    </w:p>
    <w:p w:rsidR="00A52CC2" w:rsidRPr="00285AC6" w:rsidRDefault="00A52CC2" w:rsidP="0071148E">
      <w:pPr>
        <w:spacing w:line="390" w:lineRule="exact"/>
        <w:ind w:leftChars="100" w:left="800" w:hangingChars="200" w:hanging="56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(二)違反勞動基準法案件裁罰</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6"/>
        <w:gridCol w:w="852"/>
        <w:gridCol w:w="1009"/>
        <w:gridCol w:w="1010"/>
        <w:gridCol w:w="1010"/>
        <w:gridCol w:w="1010"/>
        <w:gridCol w:w="1010"/>
        <w:gridCol w:w="1010"/>
        <w:gridCol w:w="1010"/>
        <w:gridCol w:w="1010"/>
      </w:tblGrid>
      <w:tr w:rsidR="00285AC6" w:rsidRPr="00285AC6" w:rsidTr="005D73CC">
        <w:trPr>
          <w:trHeight w:val="243"/>
        </w:trPr>
        <w:tc>
          <w:tcPr>
            <w:tcW w:w="736" w:type="dxa"/>
            <w:vMerge w:val="restart"/>
            <w:shd w:val="clear" w:color="auto" w:fill="auto"/>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109年</w:t>
            </w:r>
            <w:r w:rsidRPr="00285AC6">
              <w:rPr>
                <w:rFonts w:ascii="標楷體" w:eastAsia="標楷體" w:hAnsi="標楷體" w:hint="eastAsia"/>
                <w:bCs/>
                <w:color w:val="000000" w:themeColor="text1"/>
                <w:szCs w:val="24"/>
              </w:rPr>
              <w:br/>
              <w:t>7-12月</w:t>
            </w:r>
          </w:p>
        </w:tc>
        <w:tc>
          <w:tcPr>
            <w:tcW w:w="852"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排序</w:t>
            </w:r>
          </w:p>
        </w:tc>
        <w:tc>
          <w:tcPr>
            <w:tcW w:w="1009"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第一</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第二</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第三</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第四</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第五</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第六</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w:t>
            </w:r>
            <w:r w:rsidRPr="00285AC6">
              <w:rPr>
                <w:rFonts w:ascii="標楷體" w:eastAsia="標楷體" w:hAnsi="標楷體"/>
                <w:bCs/>
                <w:color w:val="000000" w:themeColor="text1"/>
                <w:szCs w:val="24"/>
              </w:rPr>
              <w:t>七</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第八</w:t>
            </w:r>
          </w:p>
        </w:tc>
      </w:tr>
      <w:tr w:rsidR="00285AC6" w:rsidRPr="00285AC6" w:rsidTr="005D73CC">
        <w:trPr>
          <w:trHeight w:val="286"/>
        </w:trPr>
        <w:tc>
          <w:tcPr>
            <w:tcW w:w="736" w:type="dxa"/>
            <w:vMerge/>
            <w:vAlign w:val="center"/>
            <w:hideMark/>
          </w:tcPr>
          <w:p w:rsidR="00A52CC2" w:rsidRPr="00285AC6" w:rsidRDefault="00A52CC2" w:rsidP="0071148E">
            <w:pPr>
              <w:widowControl/>
              <w:spacing w:line="390" w:lineRule="exact"/>
              <w:rPr>
                <w:rFonts w:ascii="標楷體" w:eastAsia="標楷體" w:hAnsi="標楷體" w:cs="新細明體"/>
                <w:color w:val="000000" w:themeColor="text1"/>
                <w:kern w:val="0"/>
                <w:szCs w:val="24"/>
              </w:rPr>
            </w:pPr>
          </w:p>
        </w:tc>
        <w:tc>
          <w:tcPr>
            <w:tcW w:w="852"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條次</w:t>
            </w:r>
          </w:p>
        </w:tc>
        <w:tc>
          <w:tcPr>
            <w:tcW w:w="1009"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第24條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第36條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第30條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第32條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第39條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第80條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第38條</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第22條</w:t>
            </w:r>
          </w:p>
        </w:tc>
      </w:tr>
      <w:tr w:rsidR="00285AC6" w:rsidRPr="00285AC6" w:rsidTr="005D73CC">
        <w:trPr>
          <w:trHeight w:val="286"/>
        </w:trPr>
        <w:tc>
          <w:tcPr>
            <w:tcW w:w="736" w:type="dxa"/>
            <w:vMerge/>
            <w:vAlign w:val="center"/>
            <w:hideMark/>
          </w:tcPr>
          <w:p w:rsidR="00A52CC2" w:rsidRPr="00285AC6" w:rsidRDefault="00A52CC2" w:rsidP="0071148E">
            <w:pPr>
              <w:widowControl/>
              <w:spacing w:line="390" w:lineRule="exact"/>
              <w:rPr>
                <w:rFonts w:ascii="標楷體" w:eastAsia="標楷體" w:hAnsi="標楷體" w:cs="新細明體"/>
                <w:color w:val="000000" w:themeColor="text1"/>
                <w:kern w:val="0"/>
                <w:szCs w:val="24"/>
              </w:rPr>
            </w:pPr>
          </w:p>
        </w:tc>
        <w:tc>
          <w:tcPr>
            <w:tcW w:w="852"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次數</w:t>
            </w:r>
          </w:p>
        </w:tc>
        <w:tc>
          <w:tcPr>
            <w:tcW w:w="1009"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93</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63</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58</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53</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36</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30</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29</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25</w:t>
            </w:r>
          </w:p>
        </w:tc>
      </w:tr>
      <w:tr w:rsidR="00285AC6" w:rsidRPr="00285AC6" w:rsidTr="005D73CC">
        <w:trPr>
          <w:trHeight w:val="272"/>
        </w:trPr>
        <w:tc>
          <w:tcPr>
            <w:tcW w:w="736" w:type="dxa"/>
            <w:vMerge/>
            <w:vAlign w:val="center"/>
            <w:hideMark/>
          </w:tcPr>
          <w:p w:rsidR="00A52CC2" w:rsidRPr="00285AC6" w:rsidRDefault="00A52CC2" w:rsidP="0071148E">
            <w:pPr>
              <w:widowControl/>
              <w:spacing w:line="390" w:lineRule="exact"/>
              <w:rPr>
                <w:rFonts w:ascii="標楷體" w:eastAsia="標楷體" w:hAnsi="標楷體" w:cs="新細明體"/>
                <w:color w:val="000000" w:themeColor="text1"/>
                <w:kern w:val="0"/>
                <w:szCs w:val="24"/>
              </w:rPr>
            </w:pPr>
          </w:p>
        </w:tc>
        <w:tc>
          <w:tcPr>
            <w:tcW w:w="852" w:type="dxa"/>
            <w:vMerge w:val="restart"/>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百分比</w:t>
            </w:r>
          </w:p>
        </w:tc>
        <w:tc>
          <w:tcPr>
            <w:tcW w:w="1009"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c>
          <w:tcPr>
            <w:tcW w:w="1010" w:type="dxa"/>
            <w:shd w:val="clear" w:color="auto" w:fill="auto"/>
            <w:noWrap/>
            <w:vAlign w:val="center"/>
            <w:hideMark/>
          </w:tcPr>
          <w:p w:rsidR="00A52CC2" w:rsidRPr="00285AC6" w:rsidRDefault="00A52CC2" w:rsidP="0071148E">
            <w:pPr>
              <w:widowControl/>
              <w:spacing w:line="390" w:lineRule="exact"/>
              <w:jc w:val="center"/>
              <w:rPr>
                <w:rFonts w:ascii="標楷體" w:eastAsia="標楷體" w:hAnsi="標楷體" w:cs="新細明體"/>
                <w:color w:val="000000" w:themeColor="text1"/>
                <w:kern w:val="0"/>
                <w:szCs w:val="24"/>
              </w:rPr>
            </w:pPr>
            <w:r w:rsidRPr="00285AC6">
              <w:rPr>
                <w:rFonts w:ascii="標楷體" w:eastAsia="標楷體" w:hAnsi="標楷體" w:hint="eastAsia"/>
                <w:bCs/>
                <w:color w:val="000000" w:themeColor="text1"/>
                <w:szCs w:val="24"/>
              </w:rPr>
              <w:t>比例</w:t>
            </w:r>
          </w:p>
        </w:tc>
      </w:tr>
      <w:tr w:rsidR="00285AC6" w:rsidRPr="00285AC6" w:rsidTr="005D73CC">
        <w:trPr>
          <w:trHeight w:val="272"/>
        </w:trPr>
        <w:tc>
          <w:tcPr>
            <w:tcW w:w="736" w:type="dxa"/>
            <w:vMerge/>
            <w:vAlign w:val="center"/>
            <w:hideMark/>
          </w:tcPr>
          <w:p w:rsidR="00A52CC2" w:rsidRPr="00285AC6" w:rsidRDefault="00A52CC2" w:rsidP="0071148E">
            <w:pPr>
              <w:widowControl/>
              <w:spacing w:line="390" w:lineRule="exact"/>
              <w:rPr>
                <w:rFonts w:ascii="標楷體" w:eastAsia="標楷體" w:hAnsi="標楷體" w:cs="新細明體"/>
                <w:color w:val="000000" w:themeColor="text1"/>
                <w:kern w:val="0"/>
                <w:szCs w:val="24"/>
              </w:rPr>
            </w:pPr>
          </w:p>
        </w:tc>
        <w:tc>
          <w:tcPr>
            <w:tcW w:w="852" w:type="dxa"/>
            <w:vMerge/>
            <w:vAlign w:val="center"/>
            <w:hideMark/>
          </w:tcPr>
          <w:p w:rsidR="00A52CC2" w:rsidRPr="00285AC6" w:rsidRDefault="00A52CC2" w:rsidP="0071148E">
            <w:pPr>
              <w:widowControl/>
              <w:spacing w:line="390" w:lineRule="exact"/>
              <w:rPr>
                <w:rFonts w:ascii="標楷體" w:eastAsia="標楷體" w:hAnsi="標楷體" w:cs="新細明體"/>
                <w:color w:val="000000" w:themeColor="text1"/>
                <w:kern w:val="0"/>
                <w:szCs w:val="24"/>
              </w:rPr>
            </w:pPr>
          </w:p>
        </w:tc>
        <w:tc>
          <w:tcPr>
            <w:tcW w:w="1009"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20.1%</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13.6%</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12.6%</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11.5%</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7.8%</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6.5%</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6.3%</w:t>
            </w:r>
          </w:p>
        </w:tc>
        <w:tc>
          <w:tcPr>
            <w:tcW w:w="1010" w:type="dxa"/>
            <w:shd w:val="clear" w:color="auto" w:fill="auto"/>
            <w:noWrap/>
            <w:vAlign w:val="center"/>
            <w:hideMark/>
          </w:tcPr>
          <w:p w:rsidR="00A52CC2" w:rsidRPr="00285AC6" w:rsidRDefault="00A52CC2" w:rsidP="0071148E">
            <w:pPr>
              <w:spacing w:line="390" w:lineRule="exact"/>
              <w:jc w:val="center"/>
              <w:rPr>
                <w:rFonts w:ascii="標楷體" w:eastAsia="標楷體" w:hAnsi="標楷體" w:cs="新細明體"/>
                <w:bCs/>
                <w:color w:val="000000" w:themeColor="text1"/>
                <w:szCs w:val="24"/>
              </w:rPr>
            </w:pPr>
            <w:r w:rsidRPr="00285AC6">
              <w:rPr>
                <w:rFonts w:ascii="標楷體" w:eastAsia="標楷體" w:hAnsi="標楷體" w:hint="eastAsia"/>
                <w:bCs/>
                <w:color w:val="000000" w:themeColor="text1"/>
                <w:szCs w:val="24"/>
              </w:rPr>
              <w:t>5.4%</w:t>
            </w:r>
          </w:p>
        </w:tc>
      </w:tr>
    </w:tbl>
    <w:p w:rsidR="00A52CC2" w:rsidRPr="00285AC6" w:rsidRDefault="00A52CC2"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 xml:space="preserve"> (三)宣導與輔導</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1.分析歷年事業單位常見違法情形(如工資、工時、休假等)，以常見違法態樣解析為宣導主軸，為事業單位說明外，並對不同業別實施重點，以專章(如工資篇、工時篇)方式，實施法令宣導。</w:t>
      </w:r>
    </w:p>
    <w:p w:rsidR="00A52886"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2.透過社群媒體，如臉書、手機社群(LINE)、外展服務等方式宣導，109年7月至12月計宣導370場次宣導人次達</w:t>
      </w:r>
      <w:r w:rsidRPr="00285AC6">
        <w:rPr>
          <w:rFonts w:ascii="標楷體" w:eastAsia="標楷體" w:hAnsi="標楷體" w:hint="eastAsia"/>
          <w:noProof/>
          <w:color w:val="000000" w:themeColor="text1"/>
          <w:sz w:val="28"/>
          <w:szCs w:val="28"/>
        </w:rPr>
        <w:t>149</w:t>
      </w:r>
      <w:r w:rsidRPr="00285AC6">
        <w:rPr>
          <w:rFonts w:ascii="標楷體" w:eastAsia="標楷體" w:hAnsi="標楷體" w:hint="eastAsia"/>
          <w:color w:val="000000" w:themeColor="text1"/>
          <w:sz w:val="28"/>
          <w:szCs w:val="28"/>
        </w:rPr>
        <w:t>萬2,853人次。</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6119B3" w:rsidRPr="00285AC6">
        <w:rPr>
          <w:rFonts w:hint="eastAsia"/>
          <w:b w:val="0"/>
          <w:color w:val="000000" w:themeColor="text1"/>
        </w:rPr>
        <w:t>四</w:t>
      </w:r>
      <w:r w:rsidRPr="00285AC6">
        <w:rPr>
          <w:rFonts w:hint="eastAsia"/>
          <w:b w:val="0"/>
          <w:color w:val="000000" w:themeColor="text1"/>
        </w:rPr>
        <w:t>)</w:t>
      </w:r>
      <w:r w:rsidR="00A52886" w:rsidRPr="00285AC6">
        <w:rPr>
          <w:rFonts w:hint="eastAsia"/>
          <w:b w:val="0"/>
          <w:color w:val="000000" w:themeColor="text1"/>
        </w:rPr>
        <w:t>依職業安全</w:t>
      </w:r>
      <w:r w:rsidR="003C0640" w:rsidRPr="00285AC6">
        <w:rPr>
          <w:rFonts w:hint="eastAsia"/>
          <w:b w:val="0"/>
          <w:color w:val="000000" w:themeColor="text1"/>
        </w:rPr>
        <w:t>衛生</w:t>
      </w:r>
      <w:r w:rsidR="00A52886" w:rsidRPr="00285AC6">
        <w:rPr>
          <w:rFonts w:hint="eastAsia"/>
          <w:b w:val="0"/>
          <w:color w:val="000000" w:themeColor="text1"/>
        </w:rPr>
        <w:t>法辦理勞動檢查</w:t>
      </w:r>
    </w:p>
    <w:p w:rsidR="009820A8" w:rsidRPr="00285AC6" w:rsidRDefault="009820A8" w:rsidP="0071148E">
      <w:pPr>
        <w:spacing w:line="390" w:lineRule="exact"/>
        <w:ind w:leftChars="350" w:left="1120" w:hangingChars="100" w:hanging="280"/>
        <w:jc w:val="both"/>
        <w:rPr>
          <w:rFonts w:ascii="標楷體" w:eastAsia="標楷體" w:hAnsi="標楷體" w:cs="Times New Roman"/>
          <w:color w:val="000000" w:themeColor="text1"/>
          <w:sz w:val="28"/>
          <w:szCs w:val="28"/>
        </w:rPr>
      </w:pPr>
      <w:r w:rsidRPr="00285AC6">
        <w:rPr>
          <w:rFonts w:ascii="標楷體" w:eastAsia="標楷體" w:hAnsi="標楷體" w:cs="Times New Roman" w:hint="eastAsia"/>
          <w:color w:val="000000" w:themeColor="text1"/>
          <w:sz w:val="28"/>
          <w:szCs w:val="28"/>
        </w:rPr>
        <w:t>1.</w:t>
      </w:r>
      <w:r w:rsidR="0026602A" w:rsidRPr="00285AC6">
        <w:rPr>
          <w:rFonts w:ascii="標楷體" w:eastAsia="標楷體" w:hAnsi="標楷體" w:hint="eastAsia"/>
          <w:color w:val="000000" w:themeColor="text1"/>
          <w:sz w:val="28"/>
          <w:szCs w:val="28"/>
        </w:rPr>
        <w:t>109年7至12月計28人死亡(含新增擴大保護範圍之志工1名)，與過去3年(106-108)同期平均15人增加13人。</w:t>
      </w:r>
    </w:p>
    <w:p w:rsidR="00A52886"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cs="Cordia New" w:hint="eastAsia"/>
          <w:color w:val="000000" w:themeColor="text1"/>
          <w:sz w:val="28"/>
          <w:szCs w:val="28"/>
        </w:rPr>
        <w:t>2.109年7月至12月辦理一般安全衛生檢查、專案檢查、申訴檢舉案檢查、重大職災檢查、災害複查、復工檢查、會同檢查、會勘及交辦案件檢查等勞動檢查共實施9,156場次，停工64場次，罰鍰處分213件次。</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6119B3" w:rsidRPr="00285AC6">
        <w:rPr>
          <w:rFonts w:hint="eastAsia"/>
          <w:b w:val="0"/>
          <w:color w:val="000000" w:themeColor="text1"/>
        </w:rPr>
        <w:t>五</w:t>
      </w:r>
      <w:r w:rsidRPr="00285AC6">
        <w:rPr>
          <w:rFonts w:hint="eastAsia"/>
          <w:b w:val="0"/>
          <w:color w:val="000000" w:themeColor="text1"/>
        </w:rPr>
        <w:t>)</w:t>
      </w:r>
      <w:r w:rsidR="00A52886" w:rsidRPr="00285AC6">
        <w:rPr>
          <w:rFonts w:hint="eastAsia"/>
          <w:b w:val="0"/>
          <w:color w:val="000000" w:themeColor="text1"/>
        </w:rPr>
        <w:t>職業安全衛生法令宣導、推廣與督導</w:t>
      </w:r>
    </w:p>
    <w:p w:rsidR="00610074"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1.辦理職業安全衛生</w:t>
      </w:r>
      <w:bookmarkStart w:id="1" w:name="_Hlk516645410"/>
      <w:r w:rsidRPr="00285AC6">
        <w:rPr>
          <w:rFonts w:ascii="標楷體" w:eastAsia="標楷體" w:hAnsi="標楷體" w:hint="eastAsia"/>
          <w:color w:val="000000" w:themeColor="text1"/>
          <w:sz w:val="28"/>
          <w:szCs w:val="28"/>
        </w:rPr>
        <w:t>法令</w:t>
      </w:r>
      <w:bookmarkEnd w:id="1"/>
      <w:r w:rsidRPr="00285AC6">
        <w:rPr>
          <w:rFonts w:ascii="標楷體" w:eastAsia="標楷體" w:hAnsi="標楷體" w:hint="eastAsia"/>
          <w:color w:val="000000" w:themeColor="text1"/>
          <w:sz w:val="28"/>
          <w:szCs w:val="28"/>
        </w:rPr>
        <w:t>宣導，</w:t>
      </w: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9年7月至12月計187場次。</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r w:rsidRPr="00285AC6">
        <w:rPr>
          <w:rFonts w:hint="eastAsia"/>
          <w:color w:val="000000" w:themeColor="text1"/>
        </w:rPr>
        <w:t xml:space="preserve"> </w:t>
      </w:r>
      <w:r w:rsidRPr="00285AC6">
        <w:rPr>
          <w:rFonts w:ascii="標楷體" w:eastAsia="標楷體" w:hAnsi="標楷體" w:hint="eastAsia"/>
          <w:color w:val="000000" w:themeColor="text1"/>
          <w:sz w:val="28"/>
          <w:szCs w:val="28"/>
        </w:rPr>
        <w:t>109年度辦理108年推行職業安全衛生優良單位及人員考評活動，共計9家事業單位及8位人員參加選拔，本市薦送5家事業單位及2位人員代表本市參與勞動部之考評，考評結果</w:t>
      </w:r>
      <w:r w:rsidR="00CB60D4" w:rsidRPr="00285AC6">
        <w:rPr>
          <w:rFonts w:ascii="標楷體" w:eastAsia="標楷體" w:hAnsi="標楷體" w:hint="eastAsia"/>
          <w:color w:val="000000" w:themeColor="text1"/>
          <w:sz w:val="28"/>
          <w:szCs w:val="28"/>
        </w:rPr>
        <w:t>計</w:t>
      </w:r>
      <w:r w:rsidRPr="00285AC6">
        <w:rPr>
          <w:rFonts w:ascii="標楷體" w:eastAsia="標楷體" w:hAnsi="標楷體" w:hint="eastAsia"/>
          <w:color w:val="000000" w:themeColor="text1"/>
          <w:sz w:val="28"/>
          <w:szCs w:val="28"/>
        </w:rPr>
        <w:t>5家獲選勞動部優良單位，2位獲選優良人員。</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lastRenderedPageBreak/>
        <w:t>3.成立「職業安全衛生專業輔導團」，強化本市事業單位勞動條件及安全衛生，並配合勞動檢查處針對社區微型工程之施工安全所訂區公所里幹事通報機制，進行微型工程輔導及積極推動小型營造業動態稽查輔導，協助事業單位改善工作環境及提升勞動條件、勞工安全衛生知識與技能，109年共招募志工輔導員50位，7月至12月計辦理1場次輔導團運作會議，計有32人參加，另辦理493場次中小企業訪視輔導。</w:t>
      </w:r>
    </w:p>
    <w:p w:rsidR="00DE48B4"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截至109年底計成立19</w:t>
      </w:r>
      <w:r w:rsidR="00CB60D4" w:rsidRPr="00285AC6">
        <w:rPr>
          <w:rFonts w:ascii="標楷體" w:eastAsia="標楷體" w:hAnsi="標楷體" w:hint="eastAsia"/>
          <w:color w:val="000000" w:themeColor="text1"/>
          <w:sz w:val="28"/>
          <w:szCs w:val="28"/>
        </w:rPr>
        <w:t>家</w:t>
      </w:r>
      <w:r w:rsidRPr="00285AC6">
        <w:rPr>
          <w:rFonts w:ascii="標楷體" w:eastAsia="標楷體" w:hAnsi="標楷體" w:hint="eastAsia"/>
          <w:color w:val="000000" w:themeColor="text1"/>
          <w:sz w:val="28"/>
          <w:szCs w:val="28"/>
        </w:rPr>
        <w:t>安衛家族，共計400家事業單位參與，安衛家族藉由大廠帶小廠，由經驗豐富的核心大廠協助小廠改善工作環境，共同提升職場安全衛生水準。</w:t>
      </w:r>
    </w:p>
    <w:p w:rsidR="00C9468E" w:rsidRPr="00285AC6" w:rsidRDefault="00C9468E" w:rsidP="0071148E">
      <w:pPr>
        <w:pStyle w:val="17"/>
        <w:spacing w:line="390" w:lineRule="exact"/>
        <w:ind w:leftChars="350" w:left="1120" w:hangingChars="100" w:hanging="280"/>
        <w:jc w:val="both"/>
        <w:rPr>
          <w:rFonts w:ascii="標楷體" w:eastAsia="標楷體" w:hAnsi="標楷體"/>
          <w:color w:val="000000" w:themeColor="text1"/>
          <w:sz w:val="28"/>
          <w:szCs w:val="28"/>
        </w:rPr>
      </w:pP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三、勞資關係</w:t>
      </w:r>
    </w:p>
    <w:p w:rsidR="00A52CC2" w:rsidRPr="00285AC6" w:rsidRDefault="00A52CC2"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(一)高雄市勞工權益基金</w:t>
      </w:r>
    </w:p>
    <w:p w:rsidR="00A52CC2" w:rsidRPr="00285AC6" w:rsidRDefault="00C12FCA" w:rsidP="0071148E">
      <w:pPr>
        <w:pStyle w:val="affffffff2"/>
        <w:spacing w:line="390" w:lineRule="exact"/>
        <w:ind w:leftChars="340" w:left="816"/>
        <w:jc w:val="both"/>
        <w:rPr>
          <w:color w:val="000000" w:themeColor="text1"/>
        </w:rPr>
      </w:pPr>
      <w:r w:rsidRPr="00285AC6">
        <w:rPr>
          <w:rFonts w:hint="eastAsia"/>
          <w:color w:val="000000" w:themeColor="text1"/>
        </w:rPr>
        <w:t>針對設籍本市4個月以上，且勞務提供地在本市之工會幹部或勞工提供以下涉訟補助：</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補助申請時，設籍本市4個月以上，且勞務提供地在本市之工會幹部或遭資方解僱之勞工，為確認僱傭關係存在並請求回復原職位，經依勞資爭議處理法或勞動事件法調解不成立後，起訴或續行訴訟之律師費、裁判費及訴訟期間之生活費用。</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2.補助申請時，設籍本市4個月以上，且勞務提供地在本市之勞工，因前款以外之勞資爭議致權益受損事件，經依勞資爭議處理法或勞動事件法調解不成立後，起訴或續行訴訟之律師費及裁判費。</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3.補助會址設於本市之工(分)會，或申請時設籍本市4個月以上之工會幹部或勞工，依勞資爭議處理法提起不當勞動行為裁決案件之律師費。</w:t>
      </w:r>
    </w:p>
    <w:p w:rsidR="00A52CC2" w:rsidRPr="00285AC6" w:rsidRDefault="00A52CC2"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4.109年7月至12月申請22案，通過17案，補助人數17人，補助經費77萬6</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420元。</w:t>
      </w:r>
    </w:p>
    <w:p w:rsidR="00A52CC2" w:rsidRPr="00285AC6" w:rsidRDefault="00A52CC2"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5.另本府勞工局對勞資爭議案件於調解不成立後，均適時向勞工宣導可向法律扶助基金會申請補助之資訊，供爭議當事人選擇法扶基金會訴訟扶助方式以減輕本市勞工權益基金負擔。</w:t>
      </w:r>
    </w:p>
    <w:p w:rsidR="00A52CC2" w:rsidRPr="00285AC6" w:rsidRDefault="00A52CC2" w:rsidP="0071148E">
      <w:pPr>
        <w:pStyle w:val="affffffff8"/>
        <w:spacing w:line="390" w:lineRule="exact"/>
        <w:ind w:leftChars="100" w:left="800" w:hangingChars="200" w:hanging="560"/>
        <w:jc w:val="both"/>
        <w:rPr>
          <w:color w:val="000000" w:themeColor="text1"/>
        </w:rPr>
      </w:pPr>
      <w:r w:rsidRPr="00285AC6">
        <w:rPr>
          <w:rFonts w:hint="eastAsia"/>
          <w:b w:val="0"/>
          <w:color w:val="000000" w:themeColor="text1"/>
        </w:rPr>
        <w:t xml:space="preserve"> (二)勞資爭議調處</w:t>
      </w:r>
      <w:r w:rsidR="00497897" w:rsidRPr="00285AC6">
        <w:rPr>
          <w:rFonts w:hint="eastAsia"/>
          <w:b w:val="0"/>
          <w:color w:val="000000" w:themeColor="text1"/>
        </w:rPr>
        <w:t>-</w:t>
      </w:r>
      <w:r w:rsidRPr="00285AC6">
        <w:rPr>
          <w:rFonts w:hint="eastAsia"/>
          <w:b w:val="0"/>
          <w:color w:val="000000" w:themeColor="text1"/>
        </w:rPr>
        <w:t>受理勞資爭議案件統計</w:t>
      </w:r>
    </w:p>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1.依「爭議類別」分</w:t>
      </w:r>
    </w:p>
    <w:tbl>
      <w:tblPr>
        <w:tblW w:w="514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405"/>
        <w:gridCol w:w="1590"/>
        <w:gridCol w:w="1584"/>
        <w:gridCol w:w="1828"/>
        <w:gridCol w:w="1640"/>
        <w:gridCol w:w="1336"/>
      </w:tblGrid>
      <w:tr w:rsidR="00285AC6" w:rsidRPr="00285AC6" w:rsidTr="00E53A6A">
        <w:trPr>
          <w:cantSplit/>
          <w:trHeight w:val="444"/>
          <w:jc w:val="center"/>
        </w:trPr>
        <w:tc>
          <w:tcPr>
            <w:tcW w:w="748" w:type="pct"/>
            <w:vMerge w:val="restart"/>
            <w:tcBorders>
              <w:top w:val="single" w:sz="12" w:space="0" w:color="auto"/>
              <w:bottom w:val="single" w:sz="6" w:space="0" w:color="auto"/>
              <w:tl2br w:val="single" w:sz="6" w:space="0" w:color="auto"/>
            </w:tcBorders>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     成立</w:t>
            </w:r>
          </w:p>
          <w:p w:rsidR="00E36247" w:rsidRPr="00285AC6" w:rsidRDefault="00E36247" w:rsidP="00E36247">
            <w:pPr>
              <w:spacing w:line="390" w:lineRule="exact"/>
              <w:jc w:val="right"/>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lastRenderedPageBreak/>
              <w:t>與否</w:t>
            </w:r>
          </w:p>
          <w:p w:rsidR="00E36247" w:rsidRPr="00285AC6" w:rsidRDefault="00E36247" w:rsidP="00E36247">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爭議</w:t>
            </w:r>
          </w:p>
          <w:p w:rsidR="00E36247" w:rsidRPr="00285AC6" w:rsidRDefault="00E36247" w:rsidP="00E36247">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類別</w:t>
            </w:r>
          </w:p>
        </w:tc>
        <w:tc>
          <w:tcPr>
            <w:tcW w:w="847" w:type="pct"/>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lastRenderedPageBreak/>
              <w:t>成立</w:t>
            </w:r>
          </w:p>
        </w:tc>
        <w:tc>
          <w:tcPr>
            <w:tcW w:w="844" w:type="pct"/>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不成立</w:t>
            </w:r>
          </w:p>
        </w:tc>
        <w:tc>
          <w:tcPr>
            <w:tcW w:w="974" w:type="pct"/>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調解中之案件</w:t>
            </w:r>
          </w:p>
        </w:tc>
        <w:tc>
          <w:tcPr>
            <w:tcW w:w="874" w:type="pct"/>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712" w:type="pct"/>
            <w:vMerge w:val="restart"/>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備註</w:t>
            </w:r>
          </w:p>
        </w:tc>
      </w:tr>
      <w:tr w:rsidR="00285AC6" w:rsidRPr="00285AC6" w:rsidTr="00E53A6A">
        <w:trPr>
          <w:cantSplit/>
          <w:trHeight w:val="465"/>
          <w:jc w:val="center"/>
        </w:trPr>
        <w:tc>
          <w:tcPr>
            <w:tcW w:w="748" w:type="pct"/>
            <w:vMerge/>
            <w:tcBorders>
              <w:top w:val="single" w:sz="6" w:space="0" w:color="auto"/>
              <w:bottom w:val="single" w:sz="6" w:space="0" w:color="auto"/>
              <w:tl2br w:val="single" w:sz="6" w:space="0" w:color="auto"/>
            </w:tcBorders>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712" w:type="pct"/>
            <w:vMerge/>
            <w:shd w:val="clear" w:color="auto" w:fill="auto"/>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272"/>
          <w:jc w:val="center"/>
        </w:trPr>
        <w:tc>
          <w:tcPr>
            <w:tcW w:w="748" w:type="pct"/>
            <w:tcBorders>
              <w:top w:val="single" w:sz="6" w:space="0" w:color="auto"/>
              <w:bottom w:val="single" w:sz="6"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工資爭議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647</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216</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0</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863</w:t>
            </w:r>
          </w:p>
        </w:tc>
        <w:tc>
          <w:tcPr>
            <w:tcW w:w="712" w:type="pct"/>
            <w:vMerge w:val="restart"/>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爭議案總數內含成立、不成立、撤案及調解中之案件。</w:t>
            </w:r>
          </w:p>
        </w:tc>
      </w:tr>
      <w:tr w:rsidR="00285AC6" w:rsidRPr="00285AC6" w:rsidTr="00E53A6A">
        <w:trPr>
          <w:cantSplit/>
          <w:trHeight w:val="255"/>
          <w:jc w:val="center"/>
        </w:trPr>
        <w:tc>
          <w:tcPr>
            <w:tcW w:w="748" w:type="pct"/>
            <w:tcBorders>
              <w:top w:val="single" w:sz="6" w:space="0" w:color="auto"/>
              <w:bottom w:val="single" w:sz="6"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契約爭議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333</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112</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0</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445</w:t>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304"/>
          <w:jc w:val="center"/>
        </w:trPr>
        <w:tc>
          <w:tcPr>
            <w:tcW w:w="748" w:type="pct"/>
            <w:tcBorders>
              <w:top w:val="single" w:sz="6"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職災爭議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134</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48</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183</w:t>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286"/>
          <w:jc w:val="center"/>
        </w:trPr>
        <w:tc>
          <w:tcPr>
            <w:tcW w:w="74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退休爭議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71</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25</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0</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96</w:t>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258"/>
          <w:jc w:val="center"/>
        </w:trPr>
        <w:tc>
          <w:tcPr>
            <w:tcW w:w="74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勞保爭議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56</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15</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0</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71</w:t>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330"/>
          <w:jc w:val="center"/>
        </w:trPr>
        <w:tc>
          <w:tcPr>
            <w:tcW w:w="74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其他爭議</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122</w:t>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39</w:t>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162</w:t>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cantSplit/>
          <w:trHeight w:val="264"/>
          <w:jc w:val="center"/>
        </w:trPr>
        <w:tc>
          <w:tcPr>
            <w:tcW w:w="74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小計</w:t>
            </w:r>
          </w:p>
        </w:tc>
        <w:tc>
          <w:tcPr>
            <w:tcW w:w="847"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=SUM(ABOVE) </w:instrText>
            </w:r>
            <w:r w:rsidRPr="00285AC6">
              <w:rPr>
                <w:rFonts w:ascii="標楷體" w:eastAsia="標楷體" w:hAnsi="標楷體"/>
                <w:color w:val="000000" w:themeColor="text1"/>
                <w:sz w:val="28"/>
                <w:szCs w:val="28"/>
              </w:rPr>
              <w:fldChar w:fldCharType="separate"/>
            </w:r>
            <w:r w:rsidRPr="00285AC6">
              <w:rPr>
                <w:rFonts w:ascii="標楷體" w:eastAsia="標楷體" w:hAnsi="標楷體"/>
                <w:noProof/>
                <w:color w:val="000000" w:themeColor="text1"/>
                <w:sz w:val="28"/>
                <w:szCs w:val="28"/>
              </w:rPr>
              <w:t>1</w:t>
            </w:r>
            <w:r w:rsidR="00672366" w:rsidRPr="00285AC6">
              <w:rPr>
                <w:rFonts w:ascii="標楷體" w:eastAsia="標楷體" w:hAnsi="標楷體" w:hint="eastAsia"/>
                <w:color w:val="000000" w:themeColor="text1"/>
                <w:sz w:val="28"/>
                <w:szCs w:val="28"/>
              </w:rPr>
              <w:t>,</w:t>
            </w:r>
            <w:r w:rsidRPr="00285AC6">
              <w:rPr>
                <w:rFonts w:ascii="標楷體" w:eastAsia="標楷體" w:hAnsi="標楷體"/>
                <w:noProof/>
                <w:color w:val="000000" w:themeColor="text1"/>
                <w:sz w:val="28"/>
                <w:szCs w:val="28"/>
              </w:rPr>
              <w:t>363</w:t>
            </w:r>
            <w:r w:rsidRPr="00285AC6">
              <w:rPr>
                <w:rFonts w:ascii="標楷體" w:eastAsia="標楷體" w:hAnsi="標楷體"/>
                <w:color w:val="000000" w:themeColor="text1"/>
                <w:sz w:val="28"/>
                <w:szCs w:val="28"/>
              </w:rPr>
              <w:fldChar w:fldCharType="end"/>
            </w:r>
          </w:p>
        </w:tc>
        <w:tc>
          <w:tcPr>
            <w:tcW w:w="84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=SUM(ABOVE) </w:instrText>
            </w:r>
            <w:r w:rsidRPr="00285AC6">
              <w:rPr>
                <w:rFonts w:ascii="標楷體" w:eastAsia="標楷體" w:hAnsi="標楷體"/>
                <w:color w:val="000000" w:themeColor="text1"/>
                <w:sz w:val="28"/>
                <w:szCs w:val="28"/>
              </w:rPr>
              <w:fldChar w:fldCharType="separate"/>
            </w:r>
            <w:r w:rsidRPr="00285AC6">
              <w:rPr>
                <w:rFonts w:ascii="標楷體" w:eastAsia="標楷體" w:hAnsi="標楷體"/>
                <w:noProof/>
                <w:color w:val="000000" w:themeColor="text1"/>
                <w:sz w:val="28"/>
                <w:szCs w:val="28"/>
              </w:rPr>
              <w:t>455</w:t>
            </w:r>
            <w:r w:rsidRPr="00285AC6">
              <w:rPr>
                <w:rFonts w:ascii="標楷體" w:eastAsia="標楷體" w:hAnsi="標楷體"/>
                <w:color w:val="000000" w:themeColor="text1"/>
                <w:sz w:val="28"/>
                <w:szCs w:val="28"/>
              </w:rPr>
              <w:fldChar w:fldCharType="end"/>
            </w:r>
          </w:p>
        </w:tc>
        <w:tc>
          <w:tcPr>
            <w:tcW w:w="9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=SUM(ABOVE)</w:instrText>
            </w:r>
            <w:r w:rsidRPr="00285AC6">
              <w:rPr>
                <w:rFonts w:ascii="標楷體" w:eastAsia="標楷體" w:hAnsi="標楷體"/>
                <w:color w:val="000000" w:themeColor="text1"/>
                <w:sz w:val="28"/>
                <w:szCs w:val="28"/>
              </w:rPr>
              <w:instrText xml:space="preserve"> </w:instrText>
            </w:r>
            <w:r w:rsidRPr="00285AC6">
              <w:rPr>
                <w:rFonts w:ascii="標楷體" w:eastAsia="標楷體" w:hAnsi="標楷體"/>
                <w:color w:val="000000" w:themeColor="text1"/>
                <w:sz w:val="28"/>
                <w:szCs w:val="28"/>
              </w:rPr>
              <w:fldChar w:fldCharType="separate"/>
            </w:r>
            <w:r w:rsidRPr="00285AC6">
              <w:rPr>
                <w:rFonts w:ascii="標楷體" w:eastAsia="標楷體" w:hAnsi="標楷體"/>
                <w:noProof/>
                <w:color w:val="000000" w:themeColor="text1"/>
                <w:sz w:val="28"/>
                <w:szCs w:val="28"/>
              </w:rPr>
              <w:t>2</w:t>
            </w:r>
            <w:r w:rsidRPr="00285AC6">
              <w:rPr>
                <w:rFonts w:ascii="標楷體" w:eastAsia="標楷體" w:hAnsi="標楷體"/>
                <w:color w:val="000000" w:themeColor="text1"/>
                <w:sz w:val="28"/>
                <w:szCs w:val="28"/>
              </w:rPr>
              <w:fldChar w:fldCharType="end"/>
            </w:r>
          </w:p>
        </w:tc>
        <w:tc>
          <w:tcPr>
            <w:tcW w:w="87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=SUM(ABOVE) </w:instrText>
            </w:r>
            <w:r w:rsidRPr="00285AC6">
              <w:rPr>
                <w:rFonts w:ascii="標楷體" w:eastAsia="標楷體" w:hAnsi="標楷體"/>
                <w:color w:val="000000" w:themeColor="text1"/>
                <w:sz w:val="28"/>
                <w:szCs w:val="28"/>
              </w:rPr>
              <w:fldChar w:fldCharType="separate"/>
            </w:r>
            <w:r w:rsidRPr="00285AC6">
              <w:rPr>
                <w:rFonts w:ascii="標楷體" w:eastAsia="標楷體" w:hAnsi="標楷體"/>
                <w:noProof/>
                <w:color w:val="000000" w:themeColor="text1"/>
                <w:sz w:val="28"/>
                <w:szCs w:val="28"/>
              </w:rPr>
              <w:t>1</w:t>
            </w:r>
            <w:r w:rsidRPr="00285AC6">
              <w:rPr>
                <w:rFonts w:ascii="標楷體" w:eastAsia="標楷體" w:hAnsi="標楷體" w:hint="eastAsia"/>
                <w:noProof/>
                <w:color w:val="000000" w:themeColor="text1"/>
                <w:sz w:val="28"/>
                <w:szCs w:val="28"/>
              </w:rPr>
              <w:t>,</w:t>
            </w:r>
            <w:r w:rsidRPr="00285AC6">
              <w:rPr>
                <w:rFonts w:ascii="標楷體" w:eastAsia="標楷體" w:hAnsi="標楷體"/>
                <w:noProof/>
                <w:color w:val="000000" w:themeColor="text1"/>
                <w:sz w:val="28"/>
                <w:szCs w:val="28"/>
              </w:rPr>
              <w:t>820</w:t>
            </w:r>
            <w:r w:rsidRPr="00285AC6">
              <w:rPr>
                <w:rFonts w:ascii="標楷體" w:eastAsia="標楷體" w:hAnsi="標楷體"/>
                <w:color w:val="000000" w:themeColor="text1"/>
                <w:sz w:val="28"/>
                <w:szCs w:val="28"/>
              </w:rPr>
              <w:fldChar w:fldCharType="end"/>
            </w:r>
          </w:p>
        </w:tc>
        <w:tc>
          <w:tcPr>
            <w:tcW w:w="712"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bl>
    <w:p w:rsidR="00A52CC2" w:rsidRPr="00285AC6" w:rsidRDefault="00A52CC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2.依「處理方式」分</w:t>
      </w:r>
    </w:p>
    <w:tbl>
      <w:tblPr>
        <w:tblW w:w="555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81"/>
        <w:gridCol w:w="1772"/>
        <w:gridCol w:w="1827"/>
        <w:gridCol w:w="1912"/>
        <w:gridCol w:w="1755"/>
        <w:gridCol w:w="1377"/>
      </w:tblGrid>
      <w:tr w:rsidR="00285AC6" w:rsidRPr="00285AC6" w:rsidTr="00E53A6A">
        <w:trPr>
          <w:trHeight w:val="479"/>
          <w:jc w:val="center"/>
        </w:trPr>
        <w:tc>
          <w:tcPr>
            <w:tcW w:w="814" w:type="pct"/>
            <w:vMerge w:val="restart"/>
            <w:tcBorders>
              <w:top w:val="single" w:sz="12" w:space="0" w:color="auto"/>
              <w:bottom w:val="single" w:sz="6" w:space="0" w:color="auto"/>
              <w:tl2br w:val="single" w:sz="6" w:space="0" w:color="auto"/>
            </w:tcBorders>
            <w:vAlign w:val="center"/>
          </w:tcPr>
          <w:p w:rsidR="00E36247" w:rsidRPr="00285AC6" w:rsidRDefault="00E36247" w:rsidP="00E36247">
            <w:pPr>
              <w:spacing w:line="390" w:lineRule="exact"/>
              <w:jc w:val="right"/>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成立</w:t>
            </w:r>
          </w:p>
          <w:p w:rsidR="00E36247" w:rsidRPr="00285AC6" w:rsidRDefault="00E36247" w:rsidP="00E36247">
            <w:pPr>
              <w:spacing w:line="390" w:lineRule="exact"/>
              <w:jc w:val="right"/>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與否</w:t>
            </w:r>
          </w:p>
          <w:p w:rsidR="00E36247" w:rsidRPr="00285AC6" w:rsidRDefault="00E36247" w:rsidP="00E36247">
            <w:pPr>
              <w:spacing w:line="390" w:lineRule="exact"/>
              <w:jc w:val="both"/>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處理</w:t>
            </w:r>
          </w:p>
          <w:p w:rsidR="00E36247" w:rsidRPr="00285AC6" w:rsidRDefault="00E36247" w:rsidP="00E36247">
            <w:pPr>
              <w:spacing w:line="390" w:lineRule="exact"/>
              <w:jc w:val="both"/>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方式</w:t>
            </w:r>
          </w:p>
        </w:tc>
        <w:tc>
          <w:tcPr>
            <w:tcW w:w="858" w:type="pct"/>
            <w:tcBorders>
              <w:top w:val="single" w:sz="12" w:space="0" w:color="auto"/>
              <w:tl2br w:val="nil"/>
            </w:tcBorders>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成立</w:t>
            </w:r>
          </w:p>
        </w:tc>
        <w:tc>
          <w:tcPr>
            <w:tcW w:w="885" w:type="pct"/>
            <w:tcBorders>
              <w:top w:val="single" w:sz="12" w:space="0" w:color="auto"/>
              <w:tl2br w:val="nil"/>
            </w:tcBorders>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不成立</w:t>
            </w:r>
          </w:p>
        </w:tc>
        <w:tc>
          <w:tcPr>
            <w:tcW w:w="926" w:type="pct"/>
            <w:tcBorders>
              <w:top w:val="single" w:sz="12" w:space="0" w:color="auto"/>
              <w:tl2br w:val="nil"/>
            </w:tcBorders>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調解中之案件</w:t>
            </w:r>
          </w:p>
        </w:tc>
        <w:tc>
          <w:tcPr>
            <w:tcW w:w="850" w:type="pct"/>
            <w:tcBorders>
              <w:top w:val="single" w:sz="12" w:space="0" w:color="auto"/>
              <w:bottom w:val="single" w:sz="4" w:space="0" w:color="auto"/>
              <w:tl2br w:val="nil"/>
            </w:tcBorders>
            <w:shd w:val="clear" w:color="auto" w:fill="auto"/>
            <w:vAlign w:val="center"/>
          </w:tcPr>
          <w:p w:rsidR="00E36247" w:rsidRPr="00285AC6" w:rsidRDefault="00E36247" w:rsidP="00E36247">
            <w:pPr>
              <w:spacing w:line="390" w:lineRule="exact"/>
              <w:jc w:val="center"/>
              <w:rPr>
                <w:rFonts w:ascii="標楷體" w:eastAsia="標楷體" w:hAnsi="標楷體"/>
                <w:color w:val="000000" w:themeColor="text1"/>
                <w:spacing w:val="-6"/>
                <w:sz w:val="28"/>
                <w:szCs w:val="28"/>
              </w:rPr>
            </w:pPr>
            <w:r w:rsidRPr="00285AC6">
              <w:rPr>
                <w:rFonts w:ascii="標楷體" w:eastAsia="標楷體" w:hAnsi="標楷體" w:hint="eastAsia"/>
                <w:color w:val="000000" w:themeColor="text1"/>
                <w:spacing w:val="-6"/>
                <w:sz w:val="28"/>
                <w:szCs w:val="28"/>
              </w:rPr>
              <w:t>合計</w:t>
            </w:r>
          </w:p>
        </w:tc>
        <w:tc>
          <w:tcPr>
            <w:tcW w:w="668" w:type="pct"/>
            <w:vMerge w:val="restart"/>
            <w:tcBorders>
              <w:top w:val="single" w:sz="12" w:space="0" w:color="auto"/>
              <w:tl2br w:val="nil"/>
            </w:tcBorders>
            <w:shd w:val="clear" w:color="auto" w:fill="FFFFFF"/>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備註</w:t>
            </w:r>
          </w:p>
        </w:tc>
      </w:tr>
      <w:tr w:rsidR="00285AC6" w:rsidRPr="00285AC6" w:rsidTr="00E53A6A">
        <w:trPr>
          <w:trHeight w:val="425"/>
          <w:jc w:val="center"/>
        </w:trPr>
        <w:tc>
          <w:tcPr>
            <w:tcW w:w="814" w:type="pct"/>
            <w:vMerge/>
            <w:tcBorders>
              <w:top w:val="single" w:sz="6" w:space="0" w:color="auto"/>
              <w:bottom w:val="single" w:sz="6" w:space="0" w:color="auto"/>
              <w:tl2br w:val="single" w:sz="6" w:space="0" w:color="auto"/>
            </w:tcBorders>
            <w:vAlign w:val="center"/>
          </w:tcPr>
          <w:p w:rsidR="00E36247" w:rsidRPr="00285AC6" w:rsidRDefault="00E36247" w:rsidP="00E36247">
            <w:pPr>
              <w:spacing w:line="390" w:lineRule="exact"/>
              <w:jc w:val="both"/>
              <w:rPr>
                <w:rFonts w:ascii="標楷體" w:eastAsia="標楷體" w:hAnsi="標楷體"/>
                <w:color w:val="000000" w:themeColor="text1"/>
                <w:spacing w:val="-6"/>
                <w:sz w:val="28"/>
                <w:szCs w:val="28"/>
              </w:rPr>
            </w:pPr>
          </w:p>
        </w:tc>
        <w:tc>
          <w:tcPr>
            <w:tcW w:w="85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885"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926"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850" w:type="pct"/>
            <w:tcBorders>
              <w:top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9年</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7月至12月</w:t>
            </w:r>
          </w:p>
        </w:tc>
        <w:tc>
          <w:tcPr>
            <w:tcW w:w="668" w:type="pct"/>
            <w:vMerge/>
            <w:shd w:val="clear" w:color="auto" w:fill="7F7F7F"/>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jc w:val="center"/>
        </w:trPr>
        <w:tc>
          <w:tcPr>
            <w:tcW w:w="814" w:type="pct"/>
            <w:tcBorders>
              <w:top w:val="single" w:sz="6" w:space="0" w:color="auto"/>
              <w:bottom w:val="single" w:sz="6" w:space="0" w:color="auto"/>
              <w:tl2br w:val="nil"/>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民間團體</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調處</w:t>
            </w:r>
          </w:p>
        </w:tc>
        <w:tc>
          <w:tcPr>
            <w:tcW w:w="858" w:type="pct"/>
            <w:tcBorders>
              <w:top w:val="single" w:sz="6" w:space="0" w:color="auto"/>
              <w:bottom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807</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78</w:t>
            </w:r>
            <w:r w:rsidRPr="00285AC6">
              <w:rPr>
                <w:rFonts w:ascii="標楷體" w:eastAsia="標楷體" w:hAnsi="標楷體"/>
                <w:color w:val="000000" w:themeColor="text1"/>
                <w:sz w:val="28"/>
                <w:szCs w:val="28"/>
              </w:rPr>
              <w:t>%)</w:t>
            </w:r>
          </w:p>
        </w:tc>
        <w:tc>
          <w:tcPr>
            <w:tcW w:w="885" w:type="pct"/>
            <w:tcBorders>
              <w:top w:val="single" w:sz="6" w:space="0" w:color="auto"/>
              <w:bottom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225</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22</w:t>
            </w:r>
            <w:r w:rsidRPr="00285AC6">
              <w:rPr>
                <w:rFonts w:ascii="標楷體" w:eastAsia="標楷體" w:hAnsi="標楷體"/>
                <w:color w:val="000000" w:themeColor="text1"/>
                <w:sz w:val="28"/>
                <w:szCs w:val="28"/>
              </w:rPr>
              <w:t>%)</w:t>
            </w:r>
          </w:p>
        </w:tc>
        <w:tc>
          <w:tcPr>
            <w:tcW w:w="926" w:type="pct"/>
            <w:tcBorders>
              <w:top w:val="single" w:sz="6" w:space="0" w:color="auto"/>
              <w:bottom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0                         </w:t>
            </w:r>
          </w:p>
        </w:tc>
        <w:tc>
          <w:tcPr>
            <w:tcW w:w="850" w:type="pct"/>
            <w:tcBorders>
              <w:top w:val="single" w:sz="6" w:space="0" w:color="auto"/>
              <w:bottom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1,032</w:t>
            </w:r>
          </w:p>
        </w:tc>
        <w:tc>
          <w:tcPr>
            <w:tcW w:w="668" w:type="pct"/>
            <w:vMerge w:val="restart"/>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爭議案總數內含成立、不成立及調解中之案件。</w:t>
            </w:r>
          </w:p>
        </w:tc>
      </w:tr>
      <w:tr w:rsidR="00285AC6" w:rsidRPr="00285AC6" w:rsidTr="00E53A6A">
        <w:trPr>
          <w:jc w:val="center"/>
        </w:trPr>
        <w:tc>
          <w:tcPr>
            <w:tcW w:w="814" w:type="pct"/>
            <w:tcBorders>
              <w:top w:val="single" w:sz="6"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主管機關</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調解人</w:t>
            </w:r>
          </w:p>
        </w:tc>
        <w:tc>
          <w:tcPr>
            <w:tcW w:w="858" w:type="pct"/>
            <w:tcBorders>
              <w:top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394</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(7</w:t>
            </w:r>
            <w:r w:rsidRPr="00285AC6">
              <w:rPr>
                <w:rFonts w:ascii="標楷體" w:eastAsia="標楷體" w:hAnsi="標楷體" w:hint="eastAsia"/>
                <w:color w:val="000000" w:themeColor="text1"/>
                <w:sz w:val="28"/>
                <w:szCs w:val="28"/>
              </w:rPr>
              <w:t>3</w:t>
            </w:r>
            <w:r w:rsidRPr="00285AC6">
              <w:rPr>
                <w:rFonts w:ascii="標楷體" w:eastAsia="標楷體" w:hAnsi="標楷體"/>
                <w:color w:val="000000" w:themeColor="text1"/>
                <w:sz w:val="28"/>
                <w:szCs w:val="28"/>
              </w:rPr>
              <w:t>%)</w:t>
            </w:r>
          </w:p>
        </w:tc>
        <w:tc>
          <w:tcPr>
            <w:tcW w:w="885" w:type="pct"/>
            <w:tcBorders>
              <w:top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148</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7</w:t>
            </w:r>
            <w:r w:rsidRPr="00285AC6">
              <w:rPr>
                <w:rFonts w:ascii="標楷體" w:eastAsia="標楷體" w:hAnsi="標楷體"/>
                <w:color w:val="000000" w:themeColor="text1"/>
                <w:sz w:val="28"/>
                <w:szCs w:val="28"/>
              </w:rPr>
              <w:t>%)</w:t>
            </w:r>
          </w:p>
        </w:tc>
        <w:tc>
          <w:tcPr>
            <w:tcW w:w="926" w:type="pct"/>
            <w:tcBorders>
              <w:top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0</w:t>
            </w:r>
          </w:p>
        </w:tc>
        <w:tc>
          <w:tcPr>
            <w:tcW w:w="850" w:type="pct"/>
            <w:tcBorders>
              <w:top w:val="single" w:sz="4"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542</w:t>
            </w:r>
          </w:p>
        </w:tc>
        <w:tc>
          <w:tcPr>
            <w:tcW w:w="668"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jc w:val="center"/>
        </w:trPr>
        <w:tc>
          <w:tcPr>
            <w:tcW w:w="814"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調解委員會</w:t>
            </w:r>
          </w:p>
        </w:tc>
        <w:tc>
          <w:tcPr>
            <w:tcW w:w="858"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162</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6</w:t>
            </w:r>
            <w:r w:rsidR="00FA7CAA" w:rsidRPr="00285AC6">
              <w:rPr>
                <w:rFonts w:ascii="標楷體" w:eastAsia="標楷體" w:hAnsi="標楷體" w:hint="eastAsia"/>
                <w:color w:val="000000" w:themeColor="text1"/>
                <w:sz w:val="28"/>
                <w:szCs w:val="28"/>
              </w:rPr>
              <w:t>6</w:t>
            </w:r>
            <w:r w:rsidRPr="00285AC6">
              <w:rPr>
                <w:rFonts w:ascii="標楷體" w:eastAsia="標楷體" w:hAnsi="標楷體"/>
                <w:color w:val="000000" w:themeColor="text1"/>
                <w:sz w:val="28"/>
                <w:szCs w:val="28"/>
              </w:rPr>
              <w:t>%)</w:t>
            </w:r>
          </w:p>
        </w:tc>
        <w:tc>
          <w:tcPr>
            <w:tcW w:w="885"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82</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3</w:t>
            </w:r>
            <w:r w:rsidR="00FA7CAA" w:rsidRPr="00285AC6">
              <w:rPr>
                <w:rFonts w:ascii="標楷體" w:eastAsia="標楷體" w:hAnsi="標楷體" w:hint="eastAsia"/>
                <w:color w:val="000000" w:themeColor="text1"/>
                <w:sz w:val="28"/>
                <w:szCs w:val="28"/>
              </w:rPr>
              <w:t>4</w:t>
            </w:r>
            <w:r w:rsidRPr="00285AC6">
              <w:rPr>
                <w:rFonts w:ascii="標楷體" w:eastAsia="標楷體" w:hAnsi="標楷體"/>
                <w:color w:val="000000" w:themeColor="text1"/>
                <w:sz w:val="28"/>
                <w:szCs w:val="28"/>
              </w:rPr>
              <w:t>%)</w:t>
            </w:r>
          </w:p>
        </w:tc>
        <w:tc>
          <w:tcPr>
            <w:tcW w:w="926"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p>
        </w:tc>
        <w:tc>
          <w:tcPr>
            <w:tcW w:w="850" w:type="pct"/>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246</w:t>
            </w:r>
          </w:p>
        </w:tc>
        <w:tc>
          <w:tcPr>
            <w:tcW w:w="668" w:type="pct"/>
            <w:vMerge/>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r w:rsidR="00285AC6" w:rsidRPr="00285AC6" w:rsidTr="00E53A6A">
        <w:trPr>
          <w:trHeight w:val="538"/>
          <w:jc w:val="center"/>
        </w:trPr>
        <w:tc>
          <w:tcPr>
            <w:tcW w:w="814" w:type="pct"/>
            <w:tcBorders>
              <w:bottom w:val="single" w:sz="12"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小計</w:t>
            </w:r>
          </w:p>
        </w:tc>
        <w:tc>
          <w:tcPr>
            <w:tcW w:w="858" w:type="pct"/>
            <w:tcBorders>
              <w:bottom w:val="single" w:sz="12"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1,363</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(7</w:t>
            </w:r>
            <w:r w:rsidRPr="00285AC6">
              <w:rPr>
                <w:rFonts w:ascii="標楷體" w:eastAsia="標楷體" w:hAnsi="標楷體" w:hint="eastAsia"/>
                <w:color w:val="000000" w:themeColor="text1"/>
                <w:sz w:val="28"/>
                <w:szCs w:val="28"/>
              </w:rPr>
              <w:t>5</w:t>
            </w:r>
            <w:r w:rsidRPr="00285AC6">
              <w:rPr>
                <w:rFonts w:ascii="標楷體" w:eastAsia="標楷體" w:hAnsi="標楷體"/>
                <w:color w:val="000000" w:themeColor="text1"/>
                <w:sz w:val="28"/>
                <w:szCs w:val="28"/>
              </w:rPr>
              <w:t>%)</w:t>
            </w:r>
          </w:p>
        </w:tc>
        <w:tc>
          <w:tcPr>
            <w:tcW w:w="885" w:type="pct"/>
            <w:tcBorders>
              <w:bottom w:val="single" w:sz="12"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455</w:t>
            </w:r>
          </w:p>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25</w:t>
            </w:r>
            <w:r w:rsidRPr="00285AC6">
              <w:rPr>
                <w:rFonts w:ascii="標楷體" w:eastAsia="標楷體" w:hAnsi="標楷體"/>
                <w:color w:val="000000" w:themeColor="text1"/>
                <w:sz w:val="28"/>
                <w:szCs w:val="28"/>
              </w:rPr>
              <w:t>%)</w:t>
            </w:r>
          </w:p>
        </w:tc>
        <w:tc>
          <w:tcPr>
            <w:tcW w:w="926" w:type="pct"/>
            <w:tcBorders>
              <w:bottom w:val="single" w:sz="12"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p>
        </w:tc>
        <w:tc>
          <w:tcPr>
            <w:tcW w:w="850" w:type="pct"/>
            <w:tcBorders>
              <w:bottom w:val="single" w:sz="12" w:space="0" w:color="auto"/>
            </w:tcBorders>
            <w:vAlign w:val="center"/>
          </w:tcPr>
          <w:p w:rsidR="00E36247" w:rsidRPr="00285AC6" w:rsidRDefault="00E36247" w:rsidP="00E36247">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1,820</w:t>
            </w:r>
          </w:p>
        </w:tc>
        <w:tc>
          <w:tcPr>
            <w:tcW w:w="668" w:type="pct"/>
            <w:vMerge/>
            <w:tcBorders>
              <w:bottom w:val="single" w:sz="12" w:space="0" w:color="auto"/>
            </w:tcBorders>
            <w:vAlign w:val="center"/>
          </w:tcPr>
          <w:p w:rsidR="00E36247" w:rsidRPr="00285AC6" w:rsidRDefault="00E36247" w:rsidP="00E36247">
            <w:pPr>
              <w:spacing w:line="390" w:lineRule="exact"/>
              <w:jc w:val="both"/>
              <w:rPr>
                <w:rFonts w:ascii="標楷體" w:eastAsia="標楷體" w:hAnsi="標楷體"/>
                <w:color w:val="000000" w:themeColor="text1"/>
                <w:sz w:val="28"/>
                <w:szCs w:val="28"/>
              </w:rPr>
            </w:pPr>
          </w:p>
        </w:tc>
      </w:tr>
    </w:tbl>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四、就業安全</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一</w:t>
      </w:r>
      <w:r w:rsidRPr="00285AC6">
        <w:rPr>
          <w:rFonts w:hint="eastAsia"/>
          <w:b w:val="0"/>
          <w:color w:val="000000" w:themeColor="text1"/>
        </w:rPr>
        <w:t>)</w:t>
      </w:r>
      <w:r w:rsidR="00A52886" w:rsidRPr="00285AC6">
        <w:rPr>
          <w:rFonts w:hint="eastAsia"/>
          <w:b w:val="0"/>
          <w:color w:val="000000" w:themeColor="text1"/>
        </w:rPr>
        <w:t>就業促進</w:t>
      </w:r>
    </w:p>
    <w:p w:rsidR="00E724E5" w:rsidRPr="00285AC6" w:rsidRDefault="00E724E5"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00A52886" w:rsidRPr="00285AC6">
        <w:rPr>
          <w:rFonts w:ascii="標楷體" w:eastAsia="標楷體" w:hAnsi="標楷體" w:hint="eastAsia"/>
          <w:color w:val="000000" w:themeColor="text1"/>
          <w:sz w:val="28"/>
          <w:szCs w:val="28"/>
        </w:rPr>
        <w:t>就業權益保障</w:t>
      </w:r>
    </w:p>
    <w:p w:rsidR="00D33BEC" w:rsidRPr="00285AC6" w:rsidRDefault="00D33BEC"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(1)受理就業歧視及性別平等暨求職防騙申訴案件</w:t>
      </w:r>
    </w:p>
    <w:p w:rsidR="00D33BEC" w:rsidRPr="00285AC6" w:rsidRDefault="00D33BEC" w:rsidP="0071148E">
      <w:pPr>
        <w:pStyle w:val="affffffffa"/>
        <w:spacing w:line="390" w:lineRule="exact"/>
        <w:ind w:leftChars="607" w:left="1751" w:rightChars="0" w:right="0" w:hangingChars="105" w:hanging="294"/>
        <w:jc w:val="both"/>
        <w:rPr>
          <w:color w:val="000000" w:themeColor="text1"/>
        </w:rPr>
      </w:pPr>
      <w:r w:rsidRPr="00285AC6">
        <w:rPr>
          <w:color w:val="000000" w:themeColor="text1"/>
        </w:rPr>
        <w:fldChar w:fldCharType="begin"/>
      </w:r>
      <w:r w:rsidRPr="00285AC6">
        <w:rPr>
          <w:color w:val="000000" w:themeColor="text1"/>
        </w:rPr>
        <w:instrText xml:space="preserve"> </w:instrText>
      </w:r>
      <w:r w:rsidRPr="00285AC6">
        <w:rPr>
          <w:rFonts w:hint="eastAsia"/>
          <w:color w:val="000000" w:themeColor="text1"/>
        </w:rPr>
        <w:instrText>eq \o\ac(○,1)</w:instrText>
      </w:r>
      <w:r w:rsidRPr="00285AC6">
        <w:rPr>
          <w:color w:val="000000" w:themeColor="text1"/>
        </w:rPr>
        <w:fldChar w:fldCharType="end"/>
      </w:r>
      <w:r w:rsidRPr="00285AC6">
        <w:rPr>
          <w:rFonts w:hint="eastAsia"/>
          <w:color w:val="000000" w:themeColor="text1"/>
        </w:rPr>
        <w:t>109年7月至12月受理不實廣告及求職防騙申訴案件20案、提供諮詢服務52案次。</w:t>
      </w:r>
    </w:p>
    <w:p w:rsidR="00D33BEC" w:rsidRPr="00285AC6" w:rsidRDefault="00D33BEC" w:rsidP="0071148E">
      <w:pPr>
        <w:pStyle w:val="affffffffa"/>
        <w:spacing w:line="390" w:lineRule="exact"/>
        <w:ind w:leftChars="607" w:left="1751" w:rightChars="0" w:right="0" w:hangingChars="105" w:hanging="294"/>
        <w:jc w:val="both"/>
        <w:rPr>
          <w:color w:val="000000" w:themeColor="text1"/>
        </w:rPr>
      </w:pPr>
      <w:r w:rsidRPr="00285AC6">
        <w:rPr>
          <w:color w:val="000000" w:themeColor="text1"/>
        </w:rPr>
        <w:fldChar w:fldCharType="begin"/>
      </w:r>
      <w:r w:rsidRPr="00285AC6">
        <w:rPr>
          <w:color w:val="000000" w:themeColor="text1"/>
        </w:rPr>
        <w:instrText xml:space="preserve"> </w:instrText>
      </w:r>
      <w:r w:rsidRPr="00285AC6">
        <w:rPr>
          <w:rFonts w:hint="eastAsia"/>
          <w:color w:val="000000" w:themeColor="text1"/>
        </w:rPr>
        <w:instrText>eq \o\ac(○,2)</w:instrText>
      </w:r>
      <w:r w:rsidRPr="00285AC6">
        <w:rPr>
          <w:color w:val="000000" w:themeColor="text1"/>
        </w:rPr>
        <w:fldChar w:fldCharType="end"/>
      </w:r>
      <w:r w:rsidRPr="00285AC6">
        <w:rPr>
          <w:rFonts w:hint="eastAsia"/>
          <w:color w:val="000000" w:themeColor="text1"/>
        </w:rPr>
        <w:t>109年7月至12月受理就業歧視暨性別工作平等案件70案，分別為性騷擾案49案、性別歧視10案、年齡歧視7案、身心障礙歧視1案、容貌歧視2案及婚姻歧視1案。</w:t>
      </w:r>
    </w:p>
    <w:p w:rsidR="00D33BEC" w:rsidRPr="00285AC6" w:rsidRDefault="00D33BEC"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(2)針對事業單位辦理防制就業歧視促進性別平等宣導會，109年7月至12月共計10場，參加人數611人次。</w:t>
      </w:r>
    </w:p>
    <w:p w:rsidR="00D33BEC" w:rsidRPr="00285AC6" w:rsidRDefault="00D33BEC"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(3)為因應嚴重特殊傳染性肺炎疫情造成就業衝擊，配合勞動部推</w:t>
      </w:r>
      <w:r w:rsidRPr="00285AC6">
        <w:rPr>
          <w:rFonts w:hint="eastAsia"/>
          <w:color w:val="000000" w:themeColor="text1"/>
        </w:rPr>
        <w:lastRenderedPageBreak/>
        <w:t>動「安心即時上工計畫」及本府自辦「暖心計畫」。截止109年12月31日止，「安心即時上工計畫」核定1,931名額，上工率達100%；「暖心計畫」於4月28日公告，對象為設籍本市6個月以上失業之勞工，4月30日至5月5日於各就業服務站台受理申請，計334人報名，錄取214人，於5月14日統一上工並於8月陸續期滿離職，全案結辦。</w:t>
      </w:r>
    </w:p>
    <w:p w:rsidR="00D33BEC" w:rsidRPr="00285AC6" w:rsidRDefault="00D33BEC"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(4)為配合就服法增修第5條第2項第6款規定，雇主應公開揭示或告知薪資範圍，持續辦理相關宣導會，109年7月至12月配合「防制就業歧視促進性別工作平等」、「勞動基準法」及「資遣通報」宣導計1</w:t>
      </w:r>
      <w:r w:rsidR="00FD69E8" w:rsidRPr="00285AC6">
        <w:rPr>
          <w:rFonts w:hint="eastAsia"/>
          <w:color w:val="000000" w:themeColor="text1"/>
        </w:rPr>
        <w:t>,</w:t>
      </w:r>
      <w:r w:rsidRPr="00285AC6">
        <w:rPr>
          <w:rFonts w:hint="eastAsia"/>
          <w:color w:val="000000" w:themeColor="text1"/>
        </w:rPr>
        <w:t>821家次，網路、報紙及現場宣導計52家次，於大型徵才活動宣導計555家次，每月新設立公司及商號郵寄宣導函計2</w:t>
      </w:r>
      <w:r w:rsidRPr="00285AC6">
        <w:rPr>
          <w:color w:val="000000" w:themeColor="text1"/>
        </w:rPr>
        <w:t>,</w:t>
      </w:r>
      <w:r w:rsidRPr="00285AC6">
        <w:rPr>
          <w:rFonts w:hint="eastAsia"/>
          <w:color w:val="000000" w:themeColor="text1"/>
        </w:rPr>
        <w:t>366家次。</w:t>
      </w:r>
    </w:p>
    <w:p w:rsidR="00A52886" w:rsidRPr="00285AC6" w:rsidRDefault="00D33BEC"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(5)為提供本府勞工局訓練就業中心結訓之照服員多元就業管道，並減少僱主聘僱非法外國人擔任看護，已建置「短期照服員資訊平台」共計有826筆合格照服員資訊。</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b w:val="0"/>
          <w:color w:val="000000" w:themeColor="text1"/>
        </w:rPr>
        <w:t>(</w:t>
      </w:r>
      <w:r w:rsidR="00A52886" w:rsidRPr="00285AC6">
        <w:rPr>
          <w:rFonts w:hint="eastAsia"/>
          <w:b w:val="0"/>
          <w:color w:val="000000" w:themeColor="text1"/>
        </w:rPr>
        <w:t>二</w:t>
      </w:r>
      <w:r w:rsidRPr="00285AC6">
        <w:rPr>
          <w:b w:val="0"/>
          <w:color w:val="000000" w:themeColor="text1"/>
        </w:rPr>
        <w:t>)</w:t>
      </w:r>
      <w:r w:rsidR="00A52886" w:rsidRPr="00285AC6">
        <w:rPr>
          <w:rFonts w:hint="eastAsia"/>
          <w:b w:val="0"/>
          <w:color w:val="000000" w:themeColor="text1"/>
        </w:rPr>
        <w:t>就業服務</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109年7月至12月辦理一般市民求職及廠商求才服務：</w:t>
      </w:r>
    </w:p>
    <w:p w:rsidR="009820A8" w:rsidRPr="00285AC6" w:rsidRDefault="009820A8" w:rsidP="0071148E">
      <w:pPr>
        <w:pStyle w:val="affffffffa"/>
        <w:spacing w:line="390" w:lineRule="exact"/>
        <w:ind w:leftChars="440" w:left="1476" w:rightChars="0" w:right="0" w:hangingChars="150" w:hanging="420"/>
        <w:jc w:val="both"/>
        <w:rPr>
          <w:color w:val="000000" w:themeColor="text1"/>
          <w:shd w:val="clear" w:color="auto" w:fill="FFFFFF"/>
        </w:rPr>
      </w:pPr>
      <w:r w:rsidRPr="00285AC6">
        <w:rPr>
          <w:color w:val="000000" w:themeColor="text1"/>
        </w:rPr>
        <w:t>(1)</w:t>
      </w:r>
      <w:r w:rsidRPr="00285AC6">
        <w:rPr>
          <w:rFonts w:hint="eastAsia"/>
          <w:color w:val="000000" w:themeColor="text1"/>
          <w:shd w:val="clear" w:color="auto" w:fill="FFFFFF"/>
        </w:rPr>
        <w:t>為強化偏鄉服務，運用「行動就服車」，主動辦理社區就業巡迴服務，提供民眾求職登記、工作機會推介媒合、參加職業訓練課程及就業促進方案等諮詢服務，以機動方式串連大高雄就業服務網絡。10</w:t>
      </w:r>
      <w:r w:rsidRPr="00285AC6">
        <w:rPr>
          <w:color w:val="000000" w:themeColor="text1"/>
          <w:shd w:val="clear" w:color="auto" w:fill="FFFFFF"/>
        </w:rPr>
        <w:t>9</w:t>
      </w:r>
      <w:r w:rsidRPr="00285AC6">
        <w:rPr>
          <w:rFonts w:hint="eastAsia"/>
          <w:color w:val="000000" w:themeColor="text1"/>
          <w:shd w:val="clear" w:color="auto" w:fill="FFFFFF"/>
        </w:rPr>
        <w:t>年</w:t>
      </w:r>
      <w:r w:rsidRPr="00285AC6">
        <w:rPr>
          <w:color w:val="000000" w:themeColor="text1"/>
          <w:shd w:val="clear" w:color="auto" w:fill="FFFFFF"/>
        </w:rPr>
        <w:t>7</w:t>
      </w:r>
      <w:r w:rsidRPr="00285AC6">
        <w:rPr>
          <w:rFonts w:hint="eastAsia"/>
          <w:color w:val="000000" w:themeColor="text1"/>
          <w:shd w:val="clear" w:color="auto" w:fill="FFFFFF"/>
        </w:rPr>
        <w:t>月至</w:t>
      </w:r>
      <w:r w:rsidRPr="00285AC6">
        <w:rPr>
          <w:color w:val="000000" w:themeColor="text1"/>
          <w:shd w:val="clear" w:color="auto" w:fill="FFFFFF"/>
        </w:rPr>
        <w:t>12</w:t>
      </w:r>
      <w:r w:rsidRPr="00285AC6">
        <w:rPr>
          <w:rFonts w:hint="eastAsia"/>
          <w:color w:val="000000" w:themeColor="text1"/>
          <w:shd w:val="clear" w:color="auto" w:fill="FFFFFF"/>
        </w:rPr>
        <w:t>月總計巡迴</w:t>
      </w:r>
      <w:r w:rsidRPr="00285AC6">
        <w:rPr>
          <w:color w:val="000000" w:themeColor="text1"/>
          <w:shd w:val="clear" w:color="auto" w:fill="FFFFFF"/>
        </w:rPr>
        <w:t>44</w:t>
      </w:r>
      <w:r w:rsidRPr="00285AC6">
        <w:rPr>
          <w:rFonts w:hint="eastAsia"/>
          <w:color w:val="000000" w:themeColor="text1"/>
          <w:shd w:val="clear" w:color="auto" w:fill="FFFFFF"/>
        </w:rPr>
        <w:t>車次、諮詢服務</w:t>
      </w:r>
      <w:r w:rsidRPr="00285AC6">
        <w:rPr>
          <w:color w:val="000000" w:themeColor="text1"/>
          <w:shd w:val="clear" w:color="auto" w:fill="FFFFFF"/>
        </w:rPr>
        <w:t>1,312</w:t>
      </w:r>
      <w:r w:rsidRPr="00285AC6">
        <w:rPr>
          <w:rFonts w:hint="eastAsia"/>
          <w:color w:val="000000" w:themeColor="text1"/>
          <w:shd w:val="clear" w:color="auto" w:fill="FFFFFF"/>
        </w:rPr>
        <w:t>人次及協助求職推介</w:t>
      </w:r>
      <w:r w:rsidRPr="00285AC6">
        <w:rPr>
          <w:color w:val="000000" w:themeColor="text1"/>
          <w:shd w:val="clear" w:color="auto" w:fill="FFFFFF"/>
        </w:rPr>
        <w:t>465</w:t>
      </w:r>
      <w:r w:rsidRPr="00285AC6">
        <w:rPr>
          <w:rFonts w:hint="eastAsia"/>
          <w:color w:val="000000" w:themeColor="text1"/>
          <w:shd w:val="clear" w:color="auto" w:fill="FFFFFF"/>
        </w:rPr>
        <w:t>人次</w:t>
      </w:r>
      <w:r w:rsidRPr="00285AC6">
        <w:rPr>
          <w:rFonts w:hint="eastAsia"/>
          <w:color w:val="000000" w:themeColor="text1"/>
        </w:rPr>
        <w:t>。</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color w:val="000000" w:themeColor="text1"/>
        </w:rPr>
        <w:t>(2)</w:t>
      </w:r>
      <w:r w:rsidRPr="00285AC6">
        <w:rPr>
          <w:rFonts w:hint="eastAsia"/>
          <w:color w:val="000000" w:themeColor="text1"/>
          <w:shd w:val="clear" w:color="auto" w:fill="FFFFFF"/>
        </w:rPr>
        <w:t>10</w:t>
      </w:r>
      <w:r w:rsidRPr="00285AC6">
        <w:rPr>
          <w:color w:val="000000" w:themeColor="text1"/>
          <w:shd w:val="clear" w:color="auto" w:fill="FFFFFF"/>
        </w:rPr>
        <w:t>9</w:t>
      </w:r>
      <w:r w:rsidRPr="00285AC6">
        <w:rPr>
          <w:rFonts w:hint="eastAsia"/>
          <w:color w:val="000000" w:themeColor="text1"/>
          <w:shd w:val="clear" w:color="auto" w:fill="FFFFFF"/>
        </w:rPr>
        <w:t>年7月至12月計辦理大、中、小型及單一徵才活動233場次，參加廠商1</w:t>
      </w:r>
      <w:r w:rsidRPr="00285AC6">
        <w:rPr>
          <w:color w:val="000000" w:themeColor="text1"/>
          <w:shd w:val="clear" w:color="auto" w:fill="FFFFFF"/>
        </w:rPr>
        <w:t>,</w:t>
      </w:r>
      <w:r w:rsidRPr="00285AC6">
        <w:rPr>
          <w:rFonts w:hint="eastAsia"/>
          <w:color w:val="000000" w:themeColor="text1"/>
          <w:shd w:val="clear" w:color="auto" w:fill="FFFFFF"/>
        </w:rPr>
        <w:t>413家、提供4萬2,394個就業機會、投遞履歷1萬746人次、初步媒合5,179人、初步媒合率</w:t>
      </w:r>
      <w:r w:rsidRPr="00285AC6">
        <w:rPr>
          <w:color w:val="000000" w:themeColor="text1"/>
          <w:shd w:val="clear" w:color="auto" w:fill="FFFFFF"/>
        </w:rPr>
        <w:t>4</w:t>
      </w:r>
      <w:r w:rsidRPr="00285AC6">
        <w:rPr>
          <w:rFonts w:hint="eastAsia"/>
          <w:color w:val="000000" w:themeColor="text1"/>
          <w:shd w:val="clear" w:color="auto" w:fill="FFFFFF"/>
        </w:rPr>
        <w:t>8.19%，有效增進雇主與求職者媒合成效</w:t>
      </w:r>
      <w:r w:rsidRPr="00285AC6">
        <w:rPr>
          <w:rFonts w:hint="eastAsia"/>
          <w:color w:val="000000" w:themeColor="text1"/>
        </w:rPr>
        <w:t>。</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2.促進青年就業服務</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color w:val="000000" w:themeColor="text1"/>
        </w:rPr>
        <w:t>(1)</w:t>
      </w:r>
      <w:r w:rsidRPr="00285AC6">
        <w:rPr>
          <w:rFonts w:hint="eastAsia"/>
          <w:color w:val="000000" w:themeColor="text1"/>
        </w:rPr>
        <w:t>與大專院校合作</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 xml:space="preserve">   10</w:t>
      </w:r>
      <w:r w:rsidRPr="00285AC6">
        <w:rPr>
          <w:color w:val="000000" w:themeColor="text1"/>
        </w:rPr>
        <w:t>9</w:t>
      </w:r>
      <w:r w:rsidRPr="00285AC6">
        <w:rPr>
          <w:rFonts w:hint="eastAsia"/>
          <w:color w:val="000000" w:themeColor="text1"/>
        </w:rPr>
        <w:t>年</w:t>
      </w:r>
      <w:r w:rsidRPr="00285AC6">
        <w:rPr>
          <w:color w:val="000000" w:themeColor="text1"/>
        </w:rPr>
        <w:t>7</w:t>
      </w:r>
      <w:r w:rsidRPr="00285AC6">
        <w:rPr>
          <w:rFonts w:hint="eastAsia"/>
          <w:color w:val="000000" w:themeColor="text1"/>
        </w:rPr>
        <w:t>月至</w:t>
      </w:r>
      <w:r w:rsidRPr="00285AC6">
        <w:rPr>
          <w:color w:val="000000" w:themeColor="text1"/>
        </w:rPr>
        <w:t>12</w:t>
      </w:r>
      <w:r w:rsidRPr="00285AC6">
        <w:rPr>
          <w:rFonts w:hint="eastAsia"/>
          <w:color w:val="000000" w:themeColor="text1"/>
        </w:rPr>
        <w:t>月與「高雄師範大學」、「高苑工商」、「高雄科技大學」、「義守大學」、「中山大學」、「樹德科技大學」、「正修科技大學」、「輔英科技大學」、「東方設計學院」及「育英醫專」等高中職暨大專院校合作辦理</w:t>
      </w:r>
      <w:r w:rsidRPr="00285AC6">
        <w:rPr>
          <w:color w:val="000000" w:themeColor="text1"/>
        </w:rPr>
        <w:t>59</w:t>
      </w:r>
      <w:r w:rsidRPr="00285AC6">
        <w:rPr>
          <w:rFonts w:hint="eastAsia"/>
          <w:color w:val="000000" w:themeColor="text1"/>
        </w:rPr>
        <w:t>場就業博覽會、駐點或入班宣導，提供</w:t>
      </w:r>
      <w:r w:rsidRPr="00285AC6">
        <w:rPr>
          <w:color w:val="000000" w:themeColor="text1"/>
        </w:rPr>
        <w:t>2</w:t>
      </w:r>
      <w:r w:rsidRPr="00285AC6">
        <w:rPr>
          <w:rFonts w:hint="eastAsia"/>
          <w:color w:val="000000" w:themeColor="text1"/>
        </w:rPr>
        <w:t>,</w:t>
      </w:r>
      <w:r w:rsidRPr="00285AC6">
        <w:rPr>
          <w:color w:val="000000" w:themeColor="text1"/>
        </w:rPr>
        <w:t>111</w:t>
      </w:r>
      <w:r w:rsidRPr="00285AC6">
        <w:rPr>
          <w:rFonts w:hint="eastAsia"/>
          <w:color w:val="000000" w:themeColor="text1"/>
        </w:rPr>
        <w:t>人次青年學子相關就業、職訓資訊服務。</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(2)推動青年就業大贏家計畫</w:t>
      </w:r>
      <w:r w:rsidRPr="00285AC6">
        <w:rPr>
          <w:rFonts w:hint="eastAsia"/>
          <w:color w:val="000000" w:themeColor="text1"/>
        </w:rPr>
        <w:br/>
        <w:t>擴大青年認識公立就業服務機構、了解政策工具之運用，並探</w:t>
      </w:r>
      <w:r w:rsidRPr="00285AC6">
        <w:rPr>
          <w:rFonts w:hint="eastAsia"/>
          <w:color w:val="000000" w:themeColor="text1"/>
        </w:rPr>
        <w:lastRenderedPageBreak/>
        <w:t>索自我、發掘興趣所在，10</w:t>
      </w:r>
      <w:r w:rsidRPr="00285AC6">
        <w:rPr>
          <w:color w:val="000000" w:themeColor="text1"/>
        </w:rPr>
        <w:t>9</w:t>
      </w:r>
      <w:r w:rsidRPr="00285AC6">
        <w:rPr>
          <w:rFonts w:hint="eastAsia"/>
          <w:color w:val="000000" w:themeColor="text1"/>
        </w:rPr>
        <w:t>年</w:t>
      </w:r>
      <w:r w:rsidRPr="00285AC6">
        <w:rPr>
          <w:color w:val="000000" w:themeColor="text1"/>
        </w:rPr>
        <w:t>7</w:t>
      </w:r>
      <w:r w:rsidRPr="00285AC6">
        <w:rPr>
          <w:rFonts w:hint="eastAsia"/>
          <w:color w:val="000000" w:themeColor="text1"/>
        </w:rPr>
        <w:t>月至</w:t>
      </w:r>
      <w:r w:rsidRPr="00285AC6">
        <w:rPr>
          <w:color w:val="000000" w:themeColor="text1"/>
        </w:rPr>
        <w:t>12</w:t>
      </w:r>
      <w:r w:rsidRPr="00285AC6">
        <w:rPr>
          <w:rFonts w:hint="eastAsia"/>
          <w:color w:val="000000" w:themeColor="text1"/>
        </w:rPr>
        <w:t>月共辦理</w:t>
      </w:r>
      <w:r w:rsidRPr="00285AC6">
        <w:rPr>
          <w:color w:val="000000" w:themeColor="text1"/>
        </w:rPr>
        <w:t>10</w:t>
      </w:r>
      <w:r w:rsidRPr="00285AC6">
        <w:rPr>
          <w:rFonts w:hint="eastAsia"/>
          <w:color w:val="000000" w:themeColor="text1"/>
        </w:rPr>
        <w:t>場次青年就業大贏家活動，計2</w:t>
      </w:r>
      <w:r w:rsidRPr="00285AC6">
        <w:rPr>
          <w:color w:val="000000" w:themeColor="text1"/>
        </w:rPr>
        <w:t>05</w:t>
      </w:r>
      <w:r w:rsidRPr="00285AC6">
        <w:rPr>
          <w:rFonts w:hint="eastAsia"/>
          <w:color w:val="000000" w:themeColor="text1"/>
        </w:rPr>
        <w:t>人參與，學員於參與活動後對公立就服機構資源及自我職涯規劃了解程度皆顯著提升。</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(3)辦理青年職涯規劃研習營暨自信力提升成長團體計畫</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 xml:space="preserve">   </w:t>
      </w:r>
      <w:r w:rsidR="00356E37" w:rsidRPr="00285AC6">
        <w:rPr>
          <w:rFonts w:hint="eastAsia"/>
          <w:color w:val="000000" w:themeColor="text1"/>
        </w:rPr>
        <w:t>以輕鬆有趣的3日營隊活動為主軸，結合適性測驗、履歷健診或模擬面試、產業趨勢及認識公立就服機構等主題課程，協助青年規劃未來職涯藍圖，計65人參加。另透過二梯次5日之工作坊，幫助學員自我探索，學習如何有效溝通、處理壓力，計34人參加。</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(4)辦理「雄青春─低收、中低收大專青年就業方案」</w:t>
      </w:r>
    </w:p>
    <w:p w:rsidR="009820A8" w:rsidRPr="00285AC6" w:rsidRDefault="0014417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 xml:space="preserve">   </w:t>
      </w:r>
      <w:r w:rsidR="009820A8" w:rsidRPr="00285AC6">
        <w:rPr>
          <w:rFonts w:hint="eastAsia"/>
          <w:color w:val="000000" w:themeColor="text1"/>
        </w:rPr>
        <w:t>與社會局合作協助低收、中低收大專畢業生進行職涯探索及推介就業。109年7月至12月計服務43名弱勢青少年，並成功協助30名順利就業，就業率達69.77%。</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w:t>
      </w:r>
      <w:r w:rsidRPr="00285AC6">
        <w:rPr>
          <w:color w:val="000000" w:themeColor="text1"/>
        </w:rPr>
        <w:t>5</w:t>
      </w:r>
      <w:r w:rsidRPr="00285AC6">
        <w:rPr>
          <w:rFonts w:hint="eastAsia"/>
          <w:color w:val="000000" w:themeColor="text1"/>
        </w:rPr>
        <w:t>)提供弱勢青少年深度個案服務模式</w:t>
      </w:r>
    </w:p>
    <w:p w:rsidR="009820A8" w:rsidRPr="00285AC6" w:rsidRDefault="0014417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 xml:space="preserve">   </w:t>
      </w:r>
      <w:r w:rsidR="009820A8" w:rsidRPr="00285AC6">
        <w:rPr>
          <w:rFonts w:hint="eastAsia"/>
          <w:color w:val="000000" w:themeColor="text1"/>
        </w:rPr>
        <w:t>運用諮商、職涯探索、就業促進課程等內部資源，並整合跨局處的外部資源，量身打造專屬的就業服務計畫，109年7月至12月自行開發、受理社政、矯正機關等單位轉介青少年個案推介就業148人次。</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(6)配合勞動部辦理「青年跨域就業津貼」、「青年職得好評計畫」、「青年就業領航計畫」、「青年就業獎勵計畫」及「特定行業就業獎勵津貼」等方案，強化青年尋職技能及動機，提升雇主進用意願。</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3.辦理就業促進活動</w:t>
      </w:r>
    </w:p>
    <w:p w:rsidR="009820A8" w:rsidRPr="00285AC6" w:rsidRDefault="009820A8" w:rsidP="0071148E">
      <w:pPr>
        <w:pStyle w:val="15"/>
        <w:spacing w:line="390" w:lineRule="exact"/>
        <w:ind w:leftChars="466" w:left="1132" w:hangingChars="5" w:hanging="14"/>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shd w:val="clear" w:color="auto" w:fill="FFFFFF"/>
        </w:rPr>
        <w:t>結合轄內各公私部門相關資源辦理「特定對象暨弱勢者就業服務計畫」，包括就促研習、職場觀摩、成長團體等活動，109年7月至</w:t>
      </w:r>
      <w:r w:rsidRPr="00285AC6">
        <w:rPr>
          <w:rFonts w:ascii="標楷體" w:eastAsia="標楷體" w:hAnsi="標楷體"/>
          <w:color w:val="000000" w:themeColor="text1"/>
          <w:sz w:val="28"/>
          <w:szCs w:val="28"/>
          <w:shd w:val="clear" w:color="auto" w:fill="FFFFFF"/>
        </w:rPr>
        <w:t>12</w:t>
      </w:r>
      <w:r w:rsidRPr="00285AC6">
        <w:rPr>
          <w:rFonts w:ascii="標楷體" w:eastAsia="標楷體" w:hAnsi="標楷體" w:hint="eastAsia"/>
          <w:color w:val="000000" w:themeColor="text1"/>
          <w:sz w:val="28"/>
          <w:szCs w:val="28"/>
          <w:shd w:val="clear" w:color="auto" w:fill="FFFFFF"/>
        </w:rPr>
        <w:t>月計46場、服務954人次；入監就業宣導場次為31場、服務414人次；並辦理一般失業者適性就促研習、職場觀摩活動、成長團體共139場，服務7,208人次，有效幫助長期失業者、中高齡、低收及中低收入戶、新移民及更生人等弱勢族群就業。</w:t>
      </w:r>
    </w:p>
    <w:p w:rsidR="009820A8" w:rsidRPr="00285AC6" w:rsidRDefault="009820A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4.協助中高齡及高齡者就業</w:t>
      </w:r>
    </w:p>
    <w:p w:rsidR="009820A8" w:rsidRPr="00285AC6" w:rsidRDefault="00356E37" w:rsidP="0071148E">
      <w:pPr>
        <w:spacing w:line="390" w:lineRule="exact"/>
        <w:ind w:leftChars="440" w:left="1476" w:hangingChars="150" w:hanging="420"/>
        <w:jc w:val="both"/>
        <w:rPr>
          <w:rFonts w:ascii="標楷體" w:eastAsia="標楷體" w:hAnsi="標楷體" w:cs="Times New Roman"/>
          <w:color w:val="000000" w:themeColor="text1"/>
          <w:sz w:val="28"/>
          <w:szCs w:val="28"/>
        </w:rPr>
      </w:pPr>
      <w:r w:rsidRPr="00285AC6">
        <w:rPr>
          <w:rFonts w:ascii="標楷體" w:eastAsia="標楷體" w:hAnsi="標楷體" w:cs="Times New Roman" w:hint="eastAsia"/>
          <w:color w:val="000000" w:themeColor="text1"/>
          <w:sz w:val="28"/>
          <w:szCs w:val="28"/>
        </w:rPr>
        <w:t>(1)109年7月至12月計服務中高齡者及高齡者求職者1萬1</w:t>
      </w:r>
      <w:r w:rsidRPr="00285AC6">
        <w:rPr>
          <w:rFonts w:ascii="標楷體" w:eastAsia="標楷體" w:hAnsi="標楷體" w:cs="Times New Roman"/>
          <w:color w:val="000000" w:themeColor="text1"/>
          <w:sz w:val="28"/>
          <w:szCs w:val="28"/>
        </w:rPr>
        <w:t>,</w:t>
      </w:r>
      <w:r w:rsidRPr="00285AC6">
        <w:rPr>
          <w:rFonts w:ascii="標楷體" w:eastAsia="標楷體" w:hAnsi="標楷體" w:cs="Times New Roman" w:hint="eastAsia"/>
          <w:color w:val="000000" w:themeColor="text1"/>
          <w:sz w:val="28"/>
          <w:szCs w:val="28"/>
        </w:rPr>
        <w:t>362人次，成功輔導就業5</w:t>
      </w:r>
      <w:r w:rsidRPr="00285AC6">
        <w:rPr>
          <w:rFonts w:ascii="標楷體" w:eastAsia="標楷體" w:hAnsi="標楷體" w:cs="Times New Roman"/>
          <w:color w:val="000000" w:themeColor="text1"/>
          <w:sz w:val="28"/>
          <w:szCs w:val="28"/>
        </w:rPr>
        <w:t>,914</w:t>
      </w:r>
      <w:r w:rsidRPr="00285AC6">
        <w:rPr>
          <w:rFonts w:ascii="標楷體" w:eastAsia="標楷體" w:hAnsi="標楷體" w:cs="Times New Roman" w:hint="eastAsia"/>
          <w:color w:val="000000" w:themeColor="text1"/>
          <w:sz w:val="28"/>
          <w:szCs w:val="28"/>
        </w:rPr>
        <w:t>人次，就業率達52.</w:t>
      </w:r>
      <w:r w:rsidRPr="00285AC6">
        <w:rPr>
          <w:rFonts w:ascii="標楷體" w:eastAsia="標楷體" w:hAnsi="標楷體" w:cs="Times New Roman"/>
          <w:color w:val="000000" w:themeColor="text1"/>
          <w:sz w:val="28"/>
          <w:szCs w:val="28"/>
        </w:rPr>
        <w:t>05</w:t>
      </w:r>
      <w:r w:rsidRPr="00285AC6">
        <w:rPr>
          <w:rFonts w:ascii="標楷體" w:eastAsia="標楷體" w:hAnsi="標楷體" w:cs="Times New Roman" w:hint="eastAsia"/>
          <w:color w:val="000000" w:themeColor="text1"/>
          <w:sz w:val="28"/>
          <w:szCs w:val="28"/>
        </w:rPr>
        <w:t>%，並運用勞動部各項就業獎補助工具，協助</w:t>
      </w:r>
      <w:r w:rsidRPr="00285AC6">
        <w:rPr>
          <w:rFonts w:ascii="標楷體" w:eastAsia="標楷體" w:hAnsi="標楷體" w:cs="Times New Roman"/>
          <w:color w:val="000000" w:themeColor="text1"/>
          <w:sz w:val="28"/>
          <w:szCs w:val="28"/>
        </w:rPr>
        <w:t>167</w:t>
      </w:r>
      <w:r w:rsidRPr="00285AC6">
        <w:rPr>
          <w:rFonts w:ascii="標楷體" w:eastAsia="標楷體" w:hAnsi="標楷體" w:cs="Times New Roman" w:hint="eastAsia"/>
          <w:color w:val="000000" w:themeColor="text1"/>
          <w:sz w:val="28"/>
          <w:szCs w:val="28"/>
        </w:rPr>
        <w:t>位中高齡者及高齡者就業。</w:t>
      </w:r>
    </w:p>
    <w:p w:rsidR="009820A8" w:rsidRPr="00285AC6" w:rsidRDefault="009820A8" w:rsidP="0071148E">
      <w:pPr>
        <w:spacing w:line="390" w:lineRule="exact"/>
        <w:ind w:leftChars="440" w:left="1476" w:hangingChars="150" w:hanging="420"/>
        <w:jc w:val="both"/>
        <w:rPr>
          <w:rFonts w:ascii="標楷體" w:eastAsia="標楷體" w:hAnsi="標楷體" w:cs="Times New Roman"/>
          <w:color w:val="000000" w:themeColor="text1"/>
          <w:sz w:val="28"/>
          <w:szCs w:val="28"/>
        </w:rPr>
      </w:pPr>
      <w:r w:rsidRPr="00285AC6">
        <w:rPr>
          <w:rFonts w:ascii="標楷體" w:eastAsia="標楷體" w:hAnsi="標楷體" w:cs="Times New Roman" w:hint="eastAsia"/>
          <w:color w:val="000000" w:themeColor="text1"/>
          <w:sz w:val="28"/>
          <w:szCs w:val="28"/>
        </w:rPr>
        <w:t>(2)辦理「中高齡職務再設計」，109年7月至12月計補助4家廠</w:t>
      </w:r>
      <w:r w:rsidRPr="00285AC6">
        <w:rPr>
          <w:rFonts w:ascii="標楷體" w:eastAsia="標楷體" w:hAnsi="標楷體" w:cs="Times New Roman" w:hint="eastAsia"/>
          <w:color w:val="000000" w:themeColor="text1"/>
          <w:sz w:val="28"/>
          <w:szCs w:val="28"/>
        </w:rPr>
        <w:lastRenderedPageBreak/>
        <w:t>商改造中高齡友善職場，協助27位中高齡就業者。</w:t>
      </w:r>
    </w:p>
    <w:p w:rsidR="009820A8" w:rsidRPr="00285AC6" w:rsidRDefault="009820A8" w:rsidP="0071148E">
      <w:pPr>
        <w:spacing w:line="390" w:lineRule="exact"/>
        <w:ind w:leftChars="440" w:left="1476" w:hangingChars="150" w:hanging="420"/>
        <w:jc w:val="both"/>
        <w:rPr>
          <w:rFonts w:ascii="標楷體" w:eastAsia="標楷體" w:hAnsi="標楷體" w:cs="Times New Roman"/>
          <w:color w:val="000000" w:themeColor="text1"/>
          <w:sz w:val="28"/>
          <w:szCs w:val="28"/>
        </w:rPr>
      </w:pPr>
      <w:r w:rsidRPr="00285AC6">
        <w:rPr>
          <w:rFonts w:ascii="標楷體" w:eastAsia="標楷體" w:hAnsi="標楷體" w:cs="Times New Roman" w:hint="eastAsia"/>
          <w:color w:val="000000" w:themeColor="text1"/>
          <w:sz w:val="28"/>
          <w:szCs w:val="28"/>
        </w:rPr>
        <w:t>(3)本府勞工局與勞動部南區銀髮人才資源中心協同合作，109年</w:t>
      </w:r>
      <w:r w:rsidRPr="00285AC6">
        <w:rPr>
          <w:rFonts w:ascii="標楷體" w:eastAsia="標楷體" w:hAnsi="標楷體" w:cs="Times New Roman"/>
          <w:color w:val="000000" w:themeColor="text1"/>
          <w:sz w:val="28"/>
          <w:szCs w:val="28"/>
        </w:rPr>
        <w:t>7</w:t>
      </w:r>
      <w:r w:rsidRPr="00285AC6">
        <w:rPr>
          <w:rFonts w:ascii="標楷體" w:eastAsia="標楷體" w:hAnsi="標楷體" w:cs="Times New Roman" w:hint="eastAsia"/>
          <w:color w:val="000000" w:themeColor="text1"/>
          <w:sz w:val="28"/>
          <w:szCs w:val="28"/>
        </w:rPr>
        <w:t>月至</w:t>
      </w:r>
      <w:r w:rsidRPr="00285AC6">
        <w:rPr>
          <w:rFonts w:ascii="標楷體" w:eastAsia="標楷體" w:hAnsi="標楷體" w:cs="Times New Roman"/>
          <w:color w:val="000000" w:themeColor="text1"/>
          <w:sz w:val="28"/>
          <w:szCs w:val="28"/>
        </w:rPr>
        <w:t>12</w:t>
      </w:r>
      <w:r w:rsidRPr="00285AC6">
        <w:rPr>
          <w:rFonts w:ascii="標楷體" w:eastAsia="標楷體" w:hAnsi="標楷體" w:cs="Times New Roman" w:hint="eastAsia"/>
          <w:color w:val="000000" w:themeColor="text1"/>
          <w:sz w:val="28"/>
          <w:szCs w:val="28"/>
        </w:rPr>
        <w:t>月協助該中心開發</w:t>
      </w:r>
      <w:r w:rsidRPr="00285AC6">
        <w:rPr>
          <w:rFonts w:ascii="標楷體" w:eastAsia="標楷體" w:hAnsi="標楷體" w:cs="Times New Roman"/>
          <w:color w:val="000000" w:themeColor="text1"/>
          <w:sz w:val="28"/>
          <w:szCs w:val="28"/>
        </w:rPr>
        <w:t>2,252</w:t>
      </w:r>
      <w:r w:rsidRPr="00285AC6">
        <w:rPr>
          <w:rFonts w:ascii="標楷體" w:eastAsia="標楷體" w:hAnsi="標楷體" w:cs="Times New Roman" w:hint="eastAsia"/>
          <w:color w:val="000000" w:themeColor="text1"/>
          <w:sz w:val="28"/>
          <w:szCs w:val="28"/>
        </w:rPr>
        <w:t>位55歲以上中高齡者及高齡者人力，</w:t>
      </w:r>
      <w:r w:rsidRPr="00285AC6">
        <w:rPr>
          <w:rFonts w:ascii="標楷體" w:eastAsia="標楷體" w:hAnsi="標楷體" w:cs="Times New Roman"/>
          <w:color w:val="000000" w:themeColor="text1"/>
          <w:sz w:val="28"/>
          <w:szCs w:val="28"/>
        </w:rPr>
        <w:t>1,495</w:t>
      </w:r>
      <w:r w:rsidRPr="00285AC6">
        <w:rPr>
          <w:rFonts w:ascii="標楷體" w:eastAsia="標楷體" w:hAnsi="標楷體" w:cs="Times New Roman" w:hint="eastAsia"/>
          <w:color w:val="000000" w:themeColor="text1"/>
          <w:sz w:val="28"/>
          <w:szCs w:val="28"/>
        </w:rPr>
        <w:t>個友善職缺，促進中高齡者及高齡者就業。</w:t>
      </w:r>
    </w:p>
    <w:p w:rsidR="009820A8" w:rsidRPr="00285AC6" w:rsidRDefault="009820A8" w:rsidP="0071148E">
      <w:pPr>
        <w:pStyle w:val="affffffff8"/>
        <w:spacing w:line="390" w:lineRule="exact"/>
        <w:ind w:leftChars="100" w:left="800" w:hangingChars="200" w:hanging="560"/>
        <w:jc w:val="both"/>
        <w:rPr>
          <w:b w:val="0"/>
          <w:color w:val="000000" w:themeColor="text1"/>
        </w:rPr>
      </w:pPr>
      <w:r w:rsidRPr="00285AC6">
        <w:rPr>
          <w:b w:val="0"/>
          <w:color w:val="000000" w:themeColor="text1"/>
        </w:rPr>
        <w:t xml:space="preserve"> (</w:t>
      </w:r>
      <w:r w:rsidRPr="00285AC6">
        <w:rPr>
          <w:rFonts w:hint="eastAsia"/>
          <w:b w:val="0"/>
          <w:color w:val="000000" w:themeColor="text1"/>
        </w:rPr>
        <w:t>三</w:t>
      </w:r>
      <w:r w:rsidRPr="00285AC6">
        <w:rPr>
          <w:b w:val="0"/>
          <w:color w:val="000000" w:themeColor="text1"/>
        </w:rPr>
        <w:t>)</w:t>
      </w:r>
      <w:r w:rsidRPr="00285AC6">
        <w:rPr>
          <w:rFonts w:hint="eastAsia"/>
          <w:b w:val="0"/>
          <w:color w:val="000000" w:themeColor="text1"/>
        </w:rPr>
        <w:t>職業訓練</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1.配合產業發展切合就業市場需求，10</w:t>
      </w:r>
      <w:r w:rsidRPr="00285AC6">
        <w:rPr>
          <w:rFonts w:ascii="標楷體" w:eastAsia="標楷體" w:hAnsi="標楷體"/>
          <w:color w:val="000000" w:themeColor="text1"/>
          <w:sz w:val="28"/>
          <w:szCs w:val="28"/>
        </w:rPr>
        <w:t>9</w:t>
      </w:r>
      <w:r w:rsidRPr="00285AC6">
        <w:rPr>
          <w:rFonts w:ascii="標楷體" w:eastAsia="標楷體" w:hAnsi="標楷體" w:hint="eastAsia"/>
          <w:color w:val="000000" w:themeColor="text1"/>
          <w:sz w:val="28"/>
          <w:szCs w:val="28"/>
        </w:rPr>
        <w:t>年第二梯次辦理「產訓合作職前訓練班」，開辦「食品烘焙」、「美髮設計師養成」、「地方風味小吃」、「工業自動化工程師」、「輕食餐飲實務」、「汽機車修護」、「美容彩顏造型」、「水電裝修實務」等8職類訓練班別，訓練時數684小時，招訓人數</w:t>
      </w:r>
      <w:r w:rsidRPr="00285AC6">
        <w:rPr>
          <w:rFonts w:ascii="標楷體" w:eastAsia="標楷體" w:hAnsi="標楷體"/>
          <w:color w:val="000000" w:themeColor="text1"/>
          <w:sz w:val="28"/>
          <w:szCs w:val="28"/>
        </w:rPr>
        <w:t>160</w:t>
      </w:r>
      <w:r w:rsidRPr="00285AC6">
        <w:rPr>
          <w:rFonts w:ascii="標楷體" w:eastAsia="標楷體" w:hAnsi="標楷體" w:hint="eastAsia"/>
          <w:color w:val="000000" w:themeColor="text1"/>
          <w:sz w:val="28"/>
          <w:szCs w:val="28"/>
        </w:rPr>
        <w:t>人，結訓人數</w:t>
      </w:r>
      <w:r w:rsidRPr="00285AC6">
        <w:rPr>
          <w:rFonts w:ascii="標楷體" w:eastAsia="標楷體" w:hAnsi="標楷體"/>
          <w:color w:val="000000" w:themeColor="text1"/>
          <w:sz w:val="28"/>
          <w:szCs w:val="28"/>
        </w:rPr>
        <w:t>154</w:t>
      </w:r>
      <w:r w:rsidRPr="00285AC6">
        <w:rPr>
          <w:rFonts w:ascii="標楷體" w:eastAsia="標楷體" w:hAnsi="標楷體" w:hint="eastAsia"/>
          <w:color w:val="000000" w:themeColor="text1"/>
          <w:sz w:val="28"/>
          <w:szCs w:val="28"/>
        </w:rPr>
        <w:t>人。</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2.109年7月至12月委外辦理「社群媒體行銷實戰班」等12班失業者職業訓練，開訓人數349人，結訓人數336人；另補助辦理照顧服務員職業訓練班等18班，開訓人數630人，結訓人數629人。</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委外辦理職業訓練，優先錄訓具就保非自願離職身分、就業服務法所定特定對象身分、新住民等弱勢民眾，其總成績以筆試加口試成績加權3％計算；並施行「職能導向之參訓學員遴選機制」，重篩選且嚴培訓，使學員滿意度、勞保勾稽(就業)率以及訓後就業率逐年上升。</w:t>
      </w:r>
    </w:p>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4.接受勞動部勞動力發展署技能檢定中心委託，辦理全國技術士、即測即評及發證、專案技能檢定，10</w:t>
      </w:r>
      <w:r w:rsidRPr="00285AC6">
        <w:rPr>
          <w:rFonts w:ascii="標楷體" w:eastAsia="標楷體" w:hAnsi="標楷體"/>
          <w:color w:val="000000" w:themeColor="text1"/>
          <w:sz w:val="28"/>
          <w:szCs w:val="28"/>
        </w:rPr>
        <w:t>9</w:t>
      </w:r>
      <w:r w:rsidRPr="00285AC6">
        <w:rPr>
          <w:rFonts w:ascii="標楷體" w:eastAsia="標楷體" w:hAnsi="標楷體" w:hint="eastAsia"/>
          <w:color w:val="000000" w:themeColor="text1"/>
          <w:sz w:val="28"/>
          <w:szCs w:val="28"/>
        </w:rPr>
        <w:t>年</w:t>
      </w:r>
      <w:r w:rsidRPr="00285AC6">
        <w:rPr>
          <w:rFonts w:ascii="標楷體" w:eastAsia="標楷體" w:hAnsi="標楷體"/>
          <w:color w:val="000000" w:themeColor="text1"/>
          <w:sz w:val="28"/>
          <w:szCs w:val="28"/>
        </w:rPr>
        <w:t>7</w:t>
      </w:r>
      <w:r w:rsidRPr="00285AC6">
        <w:rPr>
          <w:rFonts w:ascii="標楷體" w:eastAsia="標楷體" w:hAnsi="標楷體" w:hint="eastAsia"/>
          <w:color w:val="000000" w:themeColor="text1"/>
          <w:sz w:val="28"/>
          <w:szCs w:val="28"/>
        </w:rPr>
        <w:t>月至</w:t>
      </w:r>
      <w:r w:rsidRPr="00285AC6">
        <w:rPr>
          <w:rFonts w:ascii="標楷體" w:eastAsia="標楷體" w:hAnsi="標楷體"/>
          <w:color w:val="000000" w:themeColor="text1"/>
          <w:sz w:val="28"/>
          <w:szCs w:val="28"/>
        </w:rPr>
        <w:t>12</w:t>
      </w:r>
      <w:r w:rsidRPr="00285AC6">
        <w:rPr>
          <w:rFonts w:ascii="標楷體" w:eastAsia="標楷體" w:hAnsi="標楷體" w:hint="eastAsia"/>
          <w:color w:val="000000" w:themeColor="text1"/>
          <w:sz w:val="28"/>
          <w:szCs w:val="28"/>
        </w:rPr>
        <w:t>月共計服務</w:t>
      </w:r>
      <w:r w:rsidRPr="00285AC6">
        <w:rPr>
          <w:rFonts w:ascii="標楷體" w:eastAsia="標楷體" w:hAnsi="標楷體"/>
          <w:color w:val="000000" w:themeColor="text1"/>
          <w:sz w:val="28"/>
          <w:szCs w:val="28"/>
        </w:rPr>
        <w:t>1,388</w:t>
      </w:r>
      <w:r w:rsidRPr="00285AC6">
        <w:rPr>
          <w:rFonts w:ascii="標楷體" w:eastAsia="標楷體" w:hAnsi="標楷體" w:hint="eastAsia"/>
          <w:color w:val="000000" w:themeColor="text1"/>
          <w:sz w:val="28"/>
          <w:szCs w:val="28"/>
        </w:rPr>
        <w:t>人參加各項技能檢定測驗。</w:t>
      </w:r>
    </w:p>
    <w:p w:rsidR="00A52886"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為鼓勵受訓學員將所學回饋社會，109年度7月至12月前往醫院、安養之家、兒童之家、仁愛之家、學校及社區活動中心等提供民眾義剪、西點烘焙、風味小吃等學員製作展品體驗等，共計17場次公益活動，服務2,075人次。另協助5個中、低收入或獨居長者家庭、家務整理及環境清潔。</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b w:val="0"/>
          <w:color w:val="000000" w:themeColor="text1"/>
        </w:rPr>
        <w:t>(</w:t>
      </w:r>
      <w:r w:rsidR="00A52886" w:rsidRPr="00285AC6">
        <w:rPr>
          <w:rFonts w:hint="eastAsia"/>
          <w:b w:val="0"/>
          <w:color w:val="000000" w:themeColor="text1"/>
        </w:rPr>
        <w:t>四</w:t>
      </w:r>
      <w:r w:rsidRPr="00285AC6">
        <w:rPr>
          <w:b w:val="0"/>
          <w:color w:val="000000" w:themeColor="text1"/>
        </w:rPr>
        <w:t>)</w:t>
      </w:r>
      <w:r w:rsidR="00A52886" w:rsidRPr="00285AC6">
        <w:rPr>
          <w:rFonts w:hint="eastAsia"/>
          <w:b w:val="0"/>
          <w:color w:val="000000" w:themeColor="text1"/>
        </w:rPr>
        <w:t>外籍勞工管理</w:t>
      </w:r>
    </w:p>
    <w:p w:rsidR="00FD69E8" w:rsidRPr="00285AC6" w:rsidRDefault="00FD69E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1.辦理查察、諮詢、違法裁罰及動態管理</w:t>
      </w:r>
    </w:p>
    <w:p w:rsidR="00FD69E8" w:rsidRPr="00285AC6" w:rsidRDefault="00FD69E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藍領外籍勞工查察案件統計(109年7月至12月)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35"/>
        <w:gridCol w:w="4351"/>
      </w:tblGrid>
      <w:tr w:rsidR="00285AC6" w:rsidRPr="00285AC6" w:rsidTr="00790950">
        <w:trPr>
          <w:trHeight w:val="299"/>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項目</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件數</w:t>
            </w:r>
          </w:p>
        </w:tc>
      </w:tr>
      <w:tr w:rsidR="00285AC6" w:rsidRPr="00285AC6" w:rsidTr="00790950">
        <w:trPr>
          <w:trHeight w:val="286"/>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例行訪查</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110</w:t>
            </w:r>
          </w:p>
        </w:tc>
      </w:tr>
      <w:tr w:rsidR="00285AC6" w:rsidRPr="00285AC6" w:rsidTr="00790950">
        <w:trPr>
          <w:trHeight w:val="300"/>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入國通報(訪查)</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793</w:t>
            </w:r>
          </w:p>
        </w:tc>
      </w:tr>
      <w:tr w:rsidR="00285AC6" w:rsidRPr="00285AC6" w:rsidTr="00187D5E">
        <w:trPr>
          <w:trHeight w:val="324"/>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交辦案件</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841</w:t>
            </w:r>
          </w:p>
        </w:tc>
      </w:tr>
      <w:tr w:rsidR="00285AC6" w:rsidRPr="00285AC6" w:rsidTr="00790950">
        <w:trPr>
          <w:trHeight w:val="263"/>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13,</w:t>
            </w:r>
            <w:r w:rsidRPr="00285AC6">
              <w:rPr>
                <w:rFonts w:ascii="標楷體" w:eastAsia="標楷體" w:hAnsi="標楷體" w:hint="eastAsia"/>
                <w:color w:val="000000" w:themeColor="text1"/>
                <w:sz w:val="28"/>
                <w:szCs w:val="28"/>
              </w:rPr>
              <w:t>7</w:t>
            </w:r>
            <w:r w:rsidRPr="00285AC6">
              <w:rPr>
                <w:rFonts w:ascii="標楷體" w:eastAsia="標楷體" w:hAnsi="標楷體"/>
                <w:color w:val="000000" w:themeColor="text1"/>
                <w:sz w:val="28"/>
                <w:szCs w:val="28"/>
              </w:rPr>
              <w:t>44</w:t>
            </w:r>
          </w:p>
        </w:tc>
      </w:tr>
    </w:tbl>
    <w:p w:rsidR="00FD69E8" w:rsidRPr="00285AC6" w:rsidRDefault="00FD69E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)專業外國人查察案件統計(109年7月至1</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35"/>
        <w:gridCol w:w="4351"/>
      </w:tblGrid>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lastRenderedPageBreak/>
              <w:t>項目</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件數</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例行訪查、交辦案件、其他</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488</w:t>
            </w:r>
          </w:p>
        </w:tc>
      </w:tr>
    </w:tbl>
    <w:p w:rsidR="00FD69E8" w:rsidRPr="00285AC6" w:rsidRDefault="00FD69E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3</w:t>
      </w:r>
      <w:r w:rsidRPr="00285AC6">
        <w:rPr>
          <w:rFonts w:ascii="標楷體" w:eastAsia="標楷體" w:hAnsi="標楷體" w:hint="eastAsia"/>
          <w:color w:val="000000" w:themeColor="text1"/>
          <w:sz w:val="28"/>
          <w:szCs w:val="28"/>
        </w:rPr>
        <w:t>)諮詢服務統計(109年7月至1</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35"/>
        <w:gridCol w:w="4351"/>
      </w:tblGrid>
      <w:tr w:rsidR="00285AC6" w:rsidRPr="00285AC6" w:rsidTr="00187D5E">
        <w:trPr>
          <w:trHeight w:val="197"/>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項目</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件數</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法令諮詢</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7,399</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勞資爭議</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1,092</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解約驗證</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1,582</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Pr="00285AC6">
              <w:rPr>
                <w:rFonts w:ascii="標楷體" w:eastAsia="標楷體" w:hAnsi="標楷體"/>
                <w:color w:val="000000" w:themeColor="text1"/>
                <w:sz w:val="28"/>
                <w:szCs w:val="28"/>
              </w:rPr>
              <w:t>0</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073</w:t>
            </w:r>
          </w:p>
        </w:tc>
      </w:tr>
    </w:tbl>
    <w:p w:rsidR="00FD69E8" w:rsidRPr="00285AC6" w:rsidRDefault="00FD69E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4</w:t>
      </w:r>
      <w:r w:rsidRPr="00285AC6">
        <w:rPr>
          <w:rFonts w:ascii="標楷體" w:eastAsia="標楷體" w:hAnsi="標楷體" w:hint="eastAsia"/>
          <w:color w:val="000000" w:themeColor="text1"/>
          <w:sz w:val="28"/>
          <w:szCs w:val="28"/>
        </w:rPr>
        <w:t>)違反就業服務法裁處案件統計(109年7月至1</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35"/>
        <w:gridCol w:w="4351"/>
      </w:tblGrid>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項目</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件數</w:t>
            </w:r>
          </w:p>
        </w:tc>
      </w:tr>
      <w:tr w:rsidR="00285AC6" w:rsidRPr="00285AC6" w:rsidTr="00187D5E">
        <w:trPr>
          <w:jc w:val="center"/>
        </w:trPr>
        <w:tc>
          <w:tcPr>
            <w:tcW w:w="2657"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裁處案件</w:t>
            </w:r>
          </w:p>
        </w:tc>
        <w:tc>
          <w:tcPr>
            <w:tcW w:w="2343"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160</w:t>
            </w:r>
          </w:p>
        </w:tc>
      </w:tr>
    </w:tbl>
    <w:p w:rsidR="00FD69E8" w:rsidRPr="00285AC6" w:rsidRDefault="00FD69E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(5)外籍勞工動態管理統計(109年7月至1</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25"/>
        <w:gridCol w:w="4361"/>
      </w:tblGrid>
      <w:tr w:rsidR="00285AC6" w:rsidRPr="00285AC6" w:rsidTr="00187D5E">
        <w:trPr>
          <w:jc w:val="center"/>
        </w:trPr>
        <w:tc>
          <w:tcPr>
            <w:tcW w:w="2652"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項目</w:t>
            </w:r>
          </w:p>
        </w:tc>
        <w:tc>
          <w:tcPr>
            <w:tcW w:w="2348"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件數</w:t>
            </w:r>
          </w:p>
        </w:tc>
      </w:tr>
      <w:tr w:rsidR="00285AC6" w:rsidRPr="00285AC6" w:rsidTr="003072A2">
        <w:trPr>
          <w:trHeight w:hRule="exact" w:val="544"/>
          <w:jc w:val="center"/>
        </w:trPr>
        <w:tc>
          <w:tcPr>
            <w:tcW w:w="2652"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接續通報、入國通報</w:t>
            </w:r>
          </w:p>
        </w:tc>
        <w:tc>
          <w:tcPr>
            <w:tcW w:w="2348"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6</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941</w:t>
            </w:r>
          </w:p>
        </w:tc>
      </w:tr>
      <w:tr w:rsidR="00285AC6" w:rsidRPr="00285AC6" w:rsidTr="003072A2">
        <w:trPr>
          <w:trHeight w:hRule="exact" w:val="849"/>
          <w:jc w:val="center"/>
        </w:trPr>
        <w:tc>
          <w:tcPr>
            <w:tcW w:w="2652"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離境報備、逃逸報備、撤銷報備</w:t>
            </w:r>
          </w:p>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廢止通報</w:t>
            </w:r>
          </w:p>
        </w:tc>
        <w:tc>
          <w:tcPr>
            <w:tcW w:w="2348"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4,656</w:t>
            </w:r>
          </w:p>
        </w:tc>
      </w:tr>
      <w:tr w:rsidR="00285AC6" w:rsidRPr="00285AC6" w:rsidTr="00187D5E">
        <w:trPr>
          <w:trHeight w:hRule="exact" w:val="430"/>
          <w:jc w:val="center"/>
        </w:trPr>
        <w:tc>
          <w:tcPr>
            <w:tcW w:w="2652"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2348" w:type="pct"/>
            <w:vAlign w:val="center"/>
          </w:tcPr>
          <w:p w:rsidR="00FD69E8" w:rsidRPr="00285AC6" w:rsidRDefault="00FD69E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11,597</w:t>
            </w:r>
          </w:p>
        </w:tc>
      </w:tr>
    </w:tbl>
    <w:p w:rsidR="00FD69E8" w:rsidRPr="00285AC6" w:rsidRDefault="00FD69E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2.辦理緊急安置、專案訪視、政令宣導及異國文化交流活動</w:t>
      </w:r>
    </w:p>
    <w:p w:rsidR="00C85D17" w:rsidRPr="00285AC6" w:rsidRDefault="00EB7021"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w:t>
      </w:r>
      <w:r w:rsidR="00C85D17" w:rsidRPr="00285AC6">
        <w:rPr>
          <w:rFonts w:ascii="標楷體" w:eastAsia="標楷體" w:hAnsi="標楷體" w:hint="eastAsia"/>
          <w:color w:val="000000" w:themeColor="text1"/>
          <w:sz w:val="28"/>
          <w:szCs w:val="28"/>
        </w:rPr>
        <w:t>為避免外籍移工於勞資爭議處理期間或雇主因故無法提供食宿時，提供緊急安置服務，109年7月至1</w:t>
      </w:r>
      <w:r w:rsidR="00C85D17" w:rsidRPr="00285AC6">
        <w:rPr>
          <w:rFonts w:ascii="標楷體" w:eastAsia="標楷體" w:hAnsi="標楷體"/>
          <w:color w:val="000000" w:themeColor="text1"/>
          <w:sz w:val="28"/>
          <w:szCs w:val="28"/>
        </w:rPr>
        <w:t>2</w:t>
      </w:r>
      <w:r w:rsidR="00C85D17" w:rsidRPr="00285AC6">
        <w:rPr>
          <w:rFonts w:ascii="標楷體" w:eastAsia="標楷體" w:hAnsi="標楷體" w:hint="eastAsia"/>
          <w:color w:val="000000" w:themeColor="text1"/>
          <w:sz w:val="28"/>
          <w:szCs w:val="28"/>
        </w:rPr>
        <w:t>月已收容安置3</w:t>
      </w:r>
      <w:r w:rsidR="00C85D17" w:rsidRPr="00285AC6">
        <w:rPr>
          <w:rFonts w:ascii="標楷體" w:eastAsia="標楷體" w:hAnsi="標楷體"/>
          <w:color w:val="000000" w:themeColor="text1"/>
          <w:sz w:val="28"/>
          <w:szCs w:val="28"/>
        </w:rPr>
        <w:t>7</w:t>
      </w:r>
      <w:r w:rsidR="00C85D17" w:rsidRPr="00285AC6">
        <w:rPr>
          <w:rFonts w:ascii="標楷體" w:eastAsia="標楷體" w:hAnsi="標楷體" w:hint="eastAsia"/>
          <w:color w:val="000000" w:themeColor="text1"/>
          <w:sz w:val="28"/>
          <w:szCs w:val="28"/>
        </w:rPr>
        <w:t>人，累計安置2</w:t>
      </w:r>
      <w:r w:rsidR="00C85D17" w:rsidRPr="00285AC6">
        <w:rPr>
          <w:rFonts w:ascii="標楷體" w:eastAsia="標楷體" w:hAnsi="標楷體"/>
          <w:color w:val="000000" w:themeColor="text1"/>
          <w:sz w:val="28"/>
          <w:szCs w:val="28"/>
        </w:rPr>
        <w:t>,</w:t>
      </w:r>
      <w:r w:rsidR="00C85D17" w:rsidRPr="00285AC6">
        <w:rPr>
          <w:rFonts w:ascii="標楷體" w:eastAsia="標楷體" w:hAnsi="標楷體" w:hint="eastAsia"/>
          <w:color w:val="000000" w:themeColor="text1"/>
          <w:sz w:val="28"/>
          <w:szCs w:val="28"/>
        </w:rPr>
        <w:t>075天。</w:t>
      </w:r>
    </w:p>
    <w:p w:rsidR="00C85D17" w:rsidRPr="00285AC6" w:rsidRDefault="00C85D17"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(2)辦理「模範外籍勞工服務表揚活動」，於109年9月12日假本市圓山大飯店舉辦，共20名傑出移工受獎表揚。</w:t>
      </w:r>
    </w:p>
    <w:p w:rsidR="00C85D17" w:rsidRPr="00285AC6" w:rsidRDefault="00C85D17"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109年度7月至12月辦理「泰有風情、藤愛港都」、「舞力全開菲常High活動實施計畫」、「越南文化節活動」、「漫遊來去客庄黃金城」、「健康有活力，工作更順利健康關懷計畫」、「社區關懷家庭看護工巡迴服務活動」、「勞工齊步走，健康更長久暨法令宣導活動」等7大活動，藉由各項活動之交流，讓本市外籍工作伙伴認識台灣多元文化的包容力，並達到舒解鄉愁，調劑身心，促進勞資關係和諧之目的，共計5</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986名外籍移工參與。</w:t>
      </w:r>
    </w:p>
    <w:p w:rsidR="00FD69E8" w:rsidRPr="00285AC6" w:rsidRDefault="00C85D17"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(4)為利雇主即時尋找符合需求且合法的看護，以減少聘僱非法外國人擔任看護之情事，本府勞工局透過醫院燈箱、計程車車體廣告、高鐵及捷運廣告宣導合法聘僱之規定，同時露出「短期照服員資訊平台」之QR Code，以有效推廣民眾多加利用。</w:t>
      </w:r>
    </w:p>
    <w:p w:rsidR="00FD69E8" w:rsidRPr="00285AC6" w:rsidRDefault="00FD69E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lastRenderedPageBreak/>
        <w:t>3</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因應嚴重特殊傳染性肺炎疫情，本府勞工局對移工生活管理機制之積極作為包括：</w:t>
      </w:r>
    </w:p>
    <w:p w:rsidR="00FD69E8" w:rsidRPr="00285AC6" w:rsidRDefault="00EB7021"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w:t>
      </w:r>
      <w:r w:rsidR="00FD69E8" w:rsidRPr="00285AC6">
        <w:rPr>
          <w:rFonts w:ascii="標楷體" w:eastAsia="標楷體" w:hAnsi="標楷體" w:hint="eastAsia"/>
          <w:color w:val="000000" w:themeColor="text1"/>
          <w:sz w:val="28"/>
          <w:szCs w:val="28"/>
        </w:rPr>
        <w:t>依勞動部公告之「地方政府辦理新入境之產業類移工居家檢疫實地查核檢查表」，針對移工生活管理機制嚴格實施檢查。 截至109年</w:t>
      </w:r>
      <w:r w:rsidR="00FD69E8" w:rsidRPr="00285AC6">
        <w:rPr>
          <w:rFonts w:ascii="標楷體" w:eastAsia="標楷體" w:hAnsi="標楷體"/>
          <w:color w:val="000000" w:themeColor="text1"/>
          <w:sz w:val="28"/>
          <w:szCs w:val="28"/>
        </w:rPr>
        <w:t>12</w:t>
      </w:r>
      <w:r w:rsidR="00FD69E8" w:rsidRPr="00285AC6">
        <w:rPr>
          <w:rFonts w:ascii="標楷體" w:eastAsia="標楷體" w:hAnsi="標楷體" w:hint="eastAsia"/>
          <w:color w:val="000000" w:themeColor="text1"/>
          <w:sz w:val="28"/>
          <w:szCs w:val="28"/>
        </w:rPr>
        <w:t>月3</w:t>
      </w:r>
      <w:r w:rsidR="00FD69E8" w:rsidRPr="00285AC6">
        <w:rPr>
          <w:rFonts w:ascii="標楷體" w:eastAsia="標楷體" w:hAnsi="標楷體"/>
          <w:color w:val="000000" w:themeColor="text1"/>
          <w:sz w:val="28"/>
          <w:szCs w:val="28"/>
        </w:rPr>
        <w:t>1</w:t>
      </w:r>
      <w:r w:rsidR="00FD69E8" w:rsidRPr="00285AC6">
        <w:rPr>
          <w:rFonts w:ascii="標楷體" w:eastAsia="標楷體" w:hAnsi="標楷體" w:hint="eastAsia"/>
          <w:color w:val="000000" w:themeColor="text1"/>
          <w:sz w:val="28"/>
          <w:szCs w:val="28"/>
        </w:rPr>
        <w:t>日止，計受理申請3,340件，經初步審查資料不全退件</w:t>
      </w:r>
      <w:r w:rsidR="00FD69E8" w:rsidRPr="00285AC6">
        <w:rPr>
          <w:rFonts w:ascii="標楷體" w:eastAsia="標楷體" w:hAnsi="標楷體"/>
          <w:color w:val="000000" w:themeColor="text1"/>
          <w:sz w:val="28"/>
          <w:szCs w:val="28"/>
        </w:rPr>
        <w:t>424</w:t>
      </w:r>
      <w:r w:rsidR="00FD69E8" w:rsidRPr="00285AC6">
        <w:rPr>
          <w:rFonts w:ascii="標楷體" w:eastAsia="標楷體" w:hAnsi="標楷體" w:hint="eastAsia"/>
          <w:color w:val="000000" w:themeColor="text1"/>
          <w:sz w:val="28"/>
          <w:szCs w:val="28"/>
        </w:rPr>
        <w:t>件，雇主自行撤回</w:t>
      </w:r>
      <w:r w:rsidR="00FD69E8" w:rsidRPr="00285AC6">
        <w:rPr>
          <w:rFonts w:ascii="標楷體" w:eastAsia="標楷體" w:hAnsi="標楷體"/>
          <w:color w:val="000000" w:themeColor="text1"/>
          <w:sz w:val="28"/>
          <w:szCs w:val="28"/>
        </w:rPr>
        <w:t>121</w:t>
      </w:r>
      <w:r w:rsidR="00FD69E8" w:rsidRPr="00285AC6">
        <w:rPr>
          <w:rFonts w:ascii="標楷體" w:eastAsia="標楷體" w:hAnsi="標楷體" w:hint="eastAsia"/>
          <w:color w:val="000000" w:themeColor="text1"/>
          <w:sz w:val="28"/>
          <w:szCs w:val="28"/>
        </w:rPr>
        <w:t>件，須辦理審(查)核</w:t>
      </w:r>
      <w:r w:rsidR="00FD69E8" w:rsidRPr="00285AC6">
        <w:rPr>
          <w:rFonts w:ascii="標楷體" w:eastAsia="標楷體" w:hAnsi="標楷體"/>
          <w:color w:val="000000" w:themeColor="text1"/>
          <w:sz w:val="28"/>
          <w:szCs w:val="28"/>
        </w:rPr>
        <w:t>2,795</w:t>
      </w:r>
      <w:r w:rsidR="00FD69E8" w:rsidRPr="00285AC6">
        <w:rPr>
          <w:rFonts w:ascii="標楷體" w:eastAsia="標楷體" w:hAnsi="標楷體" w:hint="eastAsia"/>
          <w:color w:val="000000" w:themeColor="text1"/>
          <w:sz w:val="28"/>
          <w:szCs w:val="28"/>
        </w:rPr>
        <w:t>件，並依相關期程陳報勞動部。</w:t>
      </w:r>
    </w:p>
    <w:p w:rsidR="00FD69E8" w:rsidRPr="00285AC6" w:rsidRDefault="00EB7021"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w:t>
      </w:r>
      <w:r w:rsidR="00FD69E8" w:rsidRPr="00285AC6">
        <w:rPr>
          <w:rFonts w:ascii="標楷體" w:eastAsia="標楷體" w:hAnsi="標楷體" w:hint="eastAsia"/>
          <w:color w:val="000000" w:themeColor="text1"/>
          <w:sz w:val="28"/>
          <w:szCs w:val="28"/>
        </w:rPr>
        <w:t>為落實移工居家檢疫相關措施，產業類新引進移工入境後應實施居家檢疫，本科派員實地前往移工辦理居家檢疫場所進行訪視，現場關懷訪視計</w:t>
      </w:r>
      <w:r w:rsidR="00FD69E8" w:rsidRPr="00285AC6">
        <w:rPr>
          <w:rFonts w:ascii="標楷體" w:eastAsia="標楷體" w:hAnsi="標楷體"/>
          <w:color w:val="000000" w:themeColor="text1"/>
          <w:sz w:val="28"/>
          <w:szCs w:val="28"/>
        </w:rPr>
        <w:t>1,</w:t>
      </w:r>
      <w:r w:rsidR="00FD69E8" w:rsidRPr="00285AC6">
        <w:rPr>
          <w:rFonts w:ascii="標楷體" w:eastAsia="標楷體" w:hAnsi="標楷體" w:hint="eastAsia"/>
          <w:color w:val="000000" w:themeColor="text1"/>
          <w:sz w:val="28"/>
          <w:szCs w:val="28"/>
        </w:rPr>
        <w:t>931名(統計期間6月16日至</w:t>
      </w:r>
      <w:r w:rsidR="00FD69E8" w:rsidRPr="00285AC6">
        <w:rPr>
          <w:rFonts w:ascii="標楷體" w:eastAsia="標楷體" w:hAnsi="標楷體"/>
          <w:color w:val="000000" w:themeColor="text1"/>
          <w:sz w:val="28"/>
          <w:szCs w:val="28"/>
        </w:rPr>
        <w:t>11</w:t>
      </w:r>
      <w:r w:rsidR="00FD69E8" w:rsidRPr="00285AC6">
        <w:rPr>
          <w:rFonts w:ascii="標楷體" w:eastAsia="標楷體" w:hAnsi="標楷體" w:hint="eastAsia"/>
          <w:color w:val="000000" w:themeColor="text1"/>
          <w:sz w:val="28"/>
          <w:szCs w:val="28"/>
        </w:rPr>
        <w:t>月30日)；至109年12月1日後登機入境之移工，以移工母語電話關懷，總計電話關懷365名移工。</w:t>
      </w:r>
    </w:p>
    <w:p w:rsidR="00FD69E8" w:rsidRPr="00285AC6" w:rsidRDefault="00EB7021"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3</w:t>
      </w:r>
      <w:r w:rsidRPr="00285AC6">
        <w:rPr>
          <w:rFonts w:ascii="標楷體" w:eastAsia="標楷體" w:hAnsi="標楷體" w:hint="eastAsia"/>
          <w:color w:val="000000" w:themeColor="text1"/>
          <w:sz w:val="28"/>
          <w:szCs w:val="28"/>
        </w:rPr>
        <w:t>)</w:t>
      </w:r>
      <w:r w:rsidR="00FD69E8" w:rsidRPr="00285AC6">
        <w:rPr>
          <w:rFonts w:ascii="標楷體" w:eastAsia="標楷體" w:hAnsi="標楷體" w:hint="eastAsia"/>
          <w:color w:val="000000" w:themeColor="text1"/>
          <w:sz w:val="28"/>
          <w:szCs w:val="28"/>
        </w:rPr>
        <w:t>配合本府衛生局防疫相關措施，針對本市產業類新引進移工，並於本市實施自主管理對象，以移工母語電話關懷，關懷移工健康狀況，總計電話關懷</w:t>
      </w:r>
      <w:r w:rsidR="00FD69E8" w:rsidRPr="00285AC6">
        <w:rPr>
          <w:rFonts w:ascii="標楷體" w:eastAsia="標楷體" w:hAnsi="標楷體"/>
          <w:color w:val="000000" w:themeColor="text1"/>
          <w:sz w:val="28"/>
          <w:szCs w:val="28"/>
        </w:rPr>
        <w:t>220</w:t>
      </w:r>
      <w:r w:rsidR="00FD69E8" w:rsidRPr="00285AC6">
        <w:rPr>
          <w:rFonts w:ascii="標楷體" w:eastAsia="標楷體" w:hAnsi="標楷體" w:hint="eastAsia"/>
          <w:color w:val="000000" w:themeColor="text1"/>
          <w:sz w:val="28"/>
          <w:szCs w:val="28"/>
        </w:rPr>
        <w:t>名移工。</w:t>
      </w:r>
    </w:p>
    <w:p w:rsidR="00C9468E" w:rsidRPr="00285AC6" w:rsidRDefault="00C9468E" w:rsidP="0071148E">
      <w:pPr>
        <w:spacing w:line="390" w:lineRule="exact"/>
        <w:ind w:leftChars="440" w:left="1476" w:hangingChars="150" w:hanging="420"/>
        <w:jc w:val="both"/>
        <w:rPr>
          <w:rFonts w:ascii="標楷體" w:eastAsia="標楷體" w:hAnsi="標楷體"/>
          <w:color w:val="000000" w:themeColor="text1"/>
          <w:sz w:val="28"/>
          <w:szCs w:val="28"/>
        </w:rPr>
      </w:pP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五、職業重建</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一</w:t>
      </w:r>
      <w:r w:rsidRPr="00285AC6">
        <w:rPr>
          <w:rFonts w:hint="eastAsia"/>
          <w:b w:val="0"/>
          <w:color w:val="000000" w:themeColor="text1"/>
        </w:rPr>
        <w:t>)</w:t>
      </w:r>
      <w:r w:rsidR="00A52886" w:rsidRPr="00285AC6">
        <w:rPr>
          <w:rFonts w:hint="eastAsia"/>
          <w:b w:val="0"/>
          <w:color w:val="000000" w:themeColor="text1"/>
        </w:rPr>
        <w:t>身心障礙者就業權益保障</w:t>
      </w:r>
    </w:p>
    <w:p w:rsidR="00A429F2" w:rsidRPr="00285AC6" w:rsidRDefault="00A429F2"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1.定額進用-本市定額進用身心障礙者概況(統計至</w:t>
      </w:r>
      <w:r w:rsidRPr="00285AC6">
        <w:rPr>
          <w:rFonts w:ascii="標楷體" w:eastAsia="標楷體" w:hAnsi="標楷體"/>
          <w:color w:val="000000" w:themeColor="text1"/>
          <w:sz w:val="28"/>
          <w:szCs w:val="28"/>
        </w:rPr>
        <w:t>109</w:t>
      </w:r>
      <w:r w:rsidRPr="00285AC6">
        <w:rPr>
          <w:rFonts w:ascii="標楷體" w:eastAsia="標楷體" w:hAnsi="標楷體" w:hint="eastAsia"/>
          <w:color w:val="000000" w:themeColor="text1"/>
          <w:sz w:val="28"/>
          <w:szCs w:val="28"/>
        </w:rPr>
        <w:t>年1</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 xml:space="preserve">月止) </w:t>
      </w:r>
      <w:r w:rsidR="009820A8" w:rsidRPr="00285AC6">
        <w:rPr>
          <w:rFonts w:ascii="標楷體" w:eastAsia="標楷體" w:hAnsi="標楷體" w:hint="eastAsia"/>
          <w:color w:val="000000" w:themeColor="text1"/>
          <w:sz w:val="28"/>
          <w:szCs w:val="28"/>
        </w:rPr>
        <w:t xml:space="preserve"> </w:t>
      </w:r>
    </w:p>
    <w:tbl>
      <w:tblPr>
        <w:tblW w:w="55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5"/>
        <w:gridCol w:w="996"/>
        <w:gridCol w:w="833"/>
        <w:gridCol w:w="16"/>
        <w:gridCol w:w="652"/>
        <w:gridCol w:w="829"/>
        <w:gridCol w:w="829"/>
        <w:gridCol w:w="1246"/>
        <w:gridCol w:w="916"/>
        <w:gridCol w:w="827"/>
        <w:gridCol w:w="755"/>
        <w:gridCol w:w="1217"/>
      </w:tblGrid>
      <w:tr w:rsidR="00285AC6" w:rsidRPr="00285AC6" w:rsidTr="00E53A6A">
        <w:trPr>
          <w:trHeight w:val="313"/>
          <w:jc w:val="center"/>
        </w:trPr>
        <w:tc>
          <w:tcPr>
            <w:tcW w:w="965" w:type="pct"/>
            <w:gridSpan w:val="2"/>
            <w:vMerge w:val="restart"/>
            <w:shd w:val="clear" w:color="auto" w:fill="auto"/>
            <w:noWrap/>
            <w:vAlign w:val="center"/>
          </w:tcPr>
          <w:p w:rsidR="00A429F2" w:rsidRPr="00285AC6" w:rsidRDefault="009820A8"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rPr>
              <w:t xml:space="preserve">  </w:t>
            </w:r>
            <w:r w:rsidR="00A429F2" w:rsidRPr="00285AC6">
              <w:rPr>
                <w:rFonts w:ascii="標楷體" w:eastAsia="標楷體" w:hAnsi="標楷體" w:hint="eastAsia"/>
                <w:color w:val="000000" w:themeColor="text1"/>
                <w:sz w:val="28"/>
                <w:szCs w:val="28"/>
              </w:rPr>
              <w:t>項目別</w:t>
            </w:r>
          </w:p>
        </w:tc>
        <w:tc>
          <w:tcPr>
            <w:tcW w:w="422" w:type="pct"/>
            <w:gridSpan w:val="2"/>
            <w:vMerge w:val="restar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總計</w:t>
            </w:r>
          </w:p>
        </w:tc>
        <w:tc>
          <w:tcPr>
            <w:tcW w:w="1767" w:type="pct"/>
            <w:gridSpan w:val="4"/>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公立機關(構)</w:t>
            </w:r>
          </w:p>
        </w:tc>
        <w:tc>
          <w:tcPr>
            <w:tcW w:w="1846" w:type="pct"/>
            <w:gridSpan w:val="4"/>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私立機關(構)</w:t>
            </w:r>
          </w:p>
        </w:tc>
      </w:tr>
      <w:tr w:rsidR="00285AC6" w:rsidRPr="00285AC6" w:rsidTr="00E53A6A">
        <w:trPr>
          <w:trHeight w:val="314"/>
          <w:jc w:val="center"/>
        </w:trPr>
        <w:tc>
          <w:tcPr>
            <w:tcW w:w="965" w:type="pct"/>
            <w:gridSpan w:val="2"/>
            <w:vMerge/>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p>
        </w:tc>
        <w:tc>
          <w:tcPr>
            <w:tcW w:w="422" w:type="pct"/>
            <w:gridSpan w:val="2"/>
            <w:vMerge/>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p>
        </w:tc>
        <w:tc>
          <w:tcPr>
            <w:tcW w:w="324"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412"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機關</w:t>
            </w:r>
          </w:p>
        </w:tc>
        <w:tc>
          <w:tcPr>
            <w:tcW w:w="412"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學校</w:t>
            </w:r>
          </w:p>
        </w:tc>
        <w:tc>
          <w:tcPr>
            <w:tcW w:w="619"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公營企業</w:t>
            </w:r>
          </w:p>
        </w:tc>
        <w:tc>
          <w:tcPr>
            <w:tcW w:w="45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合計</w:t>
            </w:r>
          </w:p>
        </w:tc>
        <w:tc>
          <w:tcPr>
            <w:tcW w:w="411"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學校</w:t>
            </w:r>
          </w:p>
        </w:tc>
        <w:tc>
          <w:tcPr>
            <w:tcW w:w="37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團體</w:t>
            </w:r>
          </w:p>
        </w:tc>
        <w:tc>
          <w:tcPr>
            <w:tcW w:w="60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民營</w:t>
            </w:r>
          </w:p>
        </w:tc>
      </w:tr>
      <w:tr w:rsidR="00285AC6" w:rsidRPr="00285AC6" w:rsidTr="00E53A6A">
        <w:trPr>
          <w:trHeight w:val="370"/>
          <w:jc w:val="center"/>
        </w:trPr>
        <w:tc>
          <w:tcPr>
            <w:tcW w:w="470" w:type="pct"/>
            <w:vMerge w:val="restart"/>
            <w:shd w:val="clear" w:color="auto" w:fill="auto"/>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義務機關構數</w:t>
            </w:r>
          </w:p>
        </w:tc>
        <w:tc>
          <w:tcPr>
            <w:tcW w:w="49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合計</w:t>
            </w:r>
          </w:p>
        </w:tc>
        <w:tc>
          <w:tcPr>
            <w:tcW w:w="422" w:type="pct"/>
            <w:gridSpan w:val="2"/>
            <w:tcBorders>
              <w:top w:val="single" w:sz="6" w:space="0" w:color="auto"/>
              <w:left w:val="single" w:sz="6" w:space="0" w:color="auto"/>
              <w:bottom w:val="single" w:sz="6" w:space="0" w:color="auto"/>
              <w:right w:val="single" w:sz="6" w:space="0" w:color="auto"/>
            </w:tcBorders>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1,777</w:t>
            </w:r>
          </w:p>
        </w:tc>
        <w:tc>
          <w:tcPr>
            <w:tcW w:w="324"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516</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156</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292</w:t>
            </w:r>
          </w:p>
        </w:tc>
        <w:tc>
          <w:tcPr>
            <w:tcW w:w="619"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68</w:t>
            </w:r>
          </w:p>
        </w:tc>
        <w:tc>
          <w:tcPr>
            <w:tcW w:w="45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1,261</w:t>
            </w:r>
          </w:p>
        </w:tc>
        <w:tc>
          <w:tcPr>
            <w:tcW w:w="411"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25</w:t>
            </w:r>
          </w:p>
        </w:tc>
        <w:tc>
          <w:tcPr>
            <w:tcW w:w="37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40</w:t>
            </w:r>
          </w:p>
        </w:tc>
        <w:tc>
          <w:tcPr>
            <w:tcW w:w="60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1,196</w:t>
            </w:r>
          </w:p>
        </w:tc>
      </w:tr>
      <w:tr w:rsidR="00285AC6" w:rsidRPr="00285AC6" w:rsidTr="00E53A6A">
        <w:trPr>
          <w:trHeight w:val="328"/>
          <w:jc w:val="center"/>
        </w:trPr>
        <w:tc>
          <w:tcPr>
            <w:tcW w:w="470" w:type="pct"/>
            <w:vMerge/>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p>
        </w:tc>
        <w:tc>
          <w:tcPr>
            <w:tcW w:w="49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獎勵</w:t>
            </w:r>
          </w:p>
        </w:tc>
        <w:tc>
          <w:tcPr>
            <w:tcW w:w="422" w:type="pct"/>
            <w:gridSpan w:val="2"/>
            <w:tcBorders>
              <w:top w:val="single" w:sz="6" w:space="0" w:color="auto"/>
              <w:left w:val="single" w:sz="6" w:space="0" w:color="auto"/>
              <w:bottom w:val="single" w:sz="6" w:space="0" w:color="auto"/>
              <w:right w:val="single" w:sz="6" w:space="0" w:color="auto"/>
            </w:tcBorders>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926</w:t>
            </w:r>
          </w:p>
        </w:tc>
        <w:tc>
          <w:tcPr>
            <w:tcW w:w="324"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229</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101</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101</w:t>
            </w:r>
          </w:p>
        </w:tc>
        <w:tc>
          <w:tcPr>
            <w:tcW w:w="619"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27</w:t>
            </w:r>
          </w:p>
        </w:tc>
        <w:tc>
          <w:tcPr>
            <w:tcW w:w="45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697</w:t>
            </w:r>
          </w:p>
        </w:tc>
        <w:tc>
          <w:tcPr>
            <w:tcW w:w="411"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13</w:t>
            </w:r>
          </w:p>
        </w:tc>
        <w:tc>
          <w:tcPr>
            <w:tcW w:w="37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20</w:t>
            </w:r>
          </w:p>
        </w:tc>
        <w:tc>
          <w:tcPr>
            <w:tcW w:w="60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664</w:t>
            </w:r>
          </w:p>
        </w:tc>
      </w:tr>
      <w:tr w:rsidR="00285AC6" w:rsidRPr="00285AC6" w:rsidTr="00E53A6A">
        <w:trPr>
          <w:trHeight w:val="314"/>
          <w:jc w:val="center"/>
        </w:trPr>
        <w:tc>
          <w:tcPr>
            <w:tcW w:w="470" w:type="pct"/>
            <w:vMerge/>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p>
        </w:tc>
        <w:tc>
          <w:tcPr>
            <w:tcW w:w="49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足額</w:t>
            </w:r>
          </w:p>
        </w:tc>
        <w:tc>
          <w:tcPr>
            <w:tcW w:w="422" w:type="pct"/>
            <w:gridSpan w:val="2"/>
            <w:tcBorders>
              <w:top w:val="single" w:sz="6" w:space="0" w:color="auto"/>
              <w:left w:val="single" w:sz="6" w:space="0" w:color="auto"/>
              <w:bottom w:val="single" w:sz="6" w:space="0" w:color="auto"/>
              <w:right w:val="single" w:sz="6" w:space="0" w:color="auto"/>
            </w:tcBorders>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752</w:t>
            </w:r>
          </w:p>
        </w:tc>
        <w:tc>
          <w:tcPr>
            <w:tcW w:w="324"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281</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53</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189</w:t>
            </w:r>
          </w:p>
        </w:tc>
        <w:tc>
          <w:tcPr>
            <w:tcW w:w="619"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39</w:t>
            </w:r>
          </w:p>
        </w:tc>
        <w:tc>
          <w:tcPr>
            <w:tcW w:w="45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471</w:t>
            </w:r>
          </w:p>
        </w:tc>
        <w:tc>
          <w:tcPr>
            <w:tcW w:w="411"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9</w:t>
            </w:r>
          </w:p>
        </w:tc>
        <w:tc>
          <w:tcPr>
            <w:tcW w:w="37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18</w:t>
            </w:r>
          </w:p>
        </w:tc>
        <w:tc>
          <w:tcPr>
            <w:tcW w:w="60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444</w:t>
            </w:r>
          </w:p>
        </w:tc>
      </w:tr>
      <w:tr w:rsidR="00285AC6" w:rsidRPr="00285AC6" w:rsidTr="00E53A6A">
        <w:trPr>
          <w:trHeight w:val="300"/>
          <w:jc w:val="center"/>
        </w:trPr>
        <w:tc>
          <w:tcPr>
            <w:tcW w:w="470" w:type="pct"/>
            <w:vMerge/>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p>
        </w:tc>
        <w:tc>
          <w:tcPr>
            <w:tcW w:w="495" w:type="pct"/>
            <w:shd w:val="clear" w:color="auto" w:fill="auto"/>
            <w:noWrap/>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不足額</w:t>
            </w:r>
          </w:p>
        </w:tc>
        <w:tc>
          <w:tcPr>
            <w:tcW w:w="422" w:type="pct"/>
            <w:gridSpan w:val="2"/>
            <w:tcBorders>
              <w:top w:val="single" w:sz="6" w:space="0" w:color="auto"/>
              <w:left w:val="single" w:sz="6" w:space="0" w:color="auto"/>
              <w:bottom w:val="single" w:sz="6" w:space="0" w:color="auto"/>
              <w:right w:val="single" w:sz="6" w:space="0" w:color="auto"/>
            </w:tcBorders>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99</w:t>
            </w:r>
          </w:p>
        </w:tc>
        <w:tc>
          <w:tcPr>
            <w:tcW w:w="324"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6</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619"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45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93</w:t>
            </w:r>
          </w:p>
        </w:tc>
        <w:tc>
          <w:tcPr>
            <w:tcW w:w="411"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3</w:t>
            </w:r>
          </w:p>
        </w:tc>
        <w:tc>
          <w:tcPr>
            <w:tcW w:w="37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60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88</w:t>
            </w:r>
          </w:p>
        </w:tc>
      </w:tr>
      <w:tr w:rsidR="00285AC6" w:rsidRPr="00285AC6" w:rsidTr="00E53A6A">
        <w:trPr>
          <w:trHeight w:val="538"/>
          <w:jc w:val="center"/>
        </w:trPr>
        <w:tc>
          <w:tcPr>
            <w:tcW w:w="965" w:type="pct"/>
            <w:gridSpan w:val="2"/>
            <w:vAlign w:val="center"/>
          </w:tcPr>
          <w:p w:rsidR="00A429F2" w:rsidRPr="00285AC6" w:rsidRDefault="00A429F2" w:rsidP="00A429F2">
            <w:pPr>
              <w:widowControl/>
              <w:overflowPunct w:val="0"/>
              <w:adjustRightInd w:val="0"/>
              <w:snapToGrid w:val="0"/>
              <w:spacing w:line="390" w:lineRule="exact"/>
              <w:jc w:val="center"/>
              <w:rPr>
                <w:rFonts w:ascii="標楷體" w:eastAsia="標楷體" w:hAnsi="標楷體" w:cs="Times New Roman"/>
                <w:color w:val="000000" w:themeColor="text1"/>
                <w:spacing w:val="-10"/>
                <w:kern w:val="0"/>
                <w:sz w:val="28"/>
                <w:szCs w:val="28"/>
              </w:rPr>
            </w:pPr>
            <w:r w:rsidRPr="00285AC6">
              <w:rPr>
                <w:rFonts w:ascii="標楷體" w:eastAsia="標楷體" w:hAnsi="標楷體" w:cs="Times New Roman" w:hint="eastAsia"/>
                <w:color w:val="000000" w:themeColor="text1"/>
                <w:spacing w:val="-10"/>
                <w:kern w:val="0"/>
                <w:sz w:val="28"/>
                <w:szCs w:val="28"/>
              </w:rPr>
              <w:t>法定應進用</w:t>
            </w:r>
          </w:p>
          <w:p w:rsidR="00A429F2" w:rsidRPr="00285AC6" w:rsidRDefault="00A429F2" w:rsidP="00A429F2">
            <w:pPr>
              <w:widowControl/>
              <w:overflowPunct w:val="0"/>
              <w:adjustRightInd w:val="0"/>
              <w:snapToGrid w:val="0"/>
              <w:spacing w:line="390" w:lineRule="exact"/>
              <w:jc w:val="center"/>
              <w:rPr>
                <w:rFonts w:ascii="標楷體" w:eastAsia="標楷體" w:hAnsi="標楷體" w:cs="Times New Roman"/>
                <w:color w:val="000000" w:themeColor="text1"/>
                <w:spacing w:val="-10"/>
                <w:kern w:val="0"/>
                <w:sz w:val="28"/>
                <w:szCs w:val="28"/>
              </w:rPr>
            </w:pPr>
            <w:r w:rsidRPr="00285AC6">
              <w:rPr>
                <w:rFonts w:ascii="標楷體" w:eastAsia="標楷體" w:hAnsi="標楷體" w:cs="Times New Roman" w:hint="eastAsia"/>
                <w:color w:val="000000" w:themeColor="text1"/>
                <w:spacing w:val="-10"/>
                <w:kern w:val="0"/>
                <w:sz w:val="28"/>
                <w:szCs w:val="28"/>
              </w:rPr>
              <w:t>不足人數</w:t>
            </w:r>
          </w:p>
        </w:tc>
        <w:tc>
          <w:tcPr>
            <w:tcW w:w="414"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119</w:t>
            </w:r>
          </w:p>
        </w:tc>
        <w:tc>
          <w:tcPr>
            <w:tcW w:w="332" w:type="pct"/>
            <w:gridSpan w:val="2"/>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7</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412"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2</w:t>
            </w:r>
          </w:p>
        </w:tc>
        <w:tc>
          <w:tcPr>
            <w:tcW w:w="619"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3</w:t>
            </w:r>
          </w:p>
        </w:tc>
        <w:tc>
          <w:tcPr>
            <w:tcW w:w="45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112</w:t>
            </w:r>
          </w:p>
        </w:tc>
        <w:tc>
          <w:tcPr>
            <w:tcW w:w="411"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3</w:t>
            </w:r>
          </w:p>
        </w:tc>
        <w:tc>
          <w:tcPr>
            <w:tcW w:w="37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4</w:t>
            </w:r>
          </w:p>
        </w:tc>
        <w:tc>
          <w:tcPr>
            <w:tcW w:w="605" w:type="pct"/>
            <w:shd w:val="clear" w:color="auto" w:fill="auto"/>
            <w:noWrap/>
            <w:vAlign w:val="center"/>
          </w:tcPr>
          <w:p w:rsidR="00A429F2" w:rsidRPr="00285AC6" w:rsidRDefault="00A429F2" w:rsidP="00A429F2">
            <w:pPr>
              <w:spacing w:line="500" w:lineRule="exact"/>
              <w:jc w:val="center"/>
              <w:rPr>
                <w:rFonts w:ascii="標楷體" w:eastAsia="標楷體" w:hAnsi="標楷體" w:cs="新細明體"/>
                <w:color w:val="000000" w:themeColor="text1"/>
                <w:sz w:val="28"/>
                <w:szCs w:val="28"/>
              </w:rPr>
            </w:pPr>
            <w:r w:rsidRPr="00285AC6">
              <w:rPr>
                <w:rFonts w:ascii="標楷體" w:eastAsia="標楷體" w:hAnsi="標楷體" w:hint="eastAsia"/>
                <w:color w:val="000000" w:themeColor="text1"/>
                <w:sz w:val="28"/>
                <w:szCs w:val="28"/>
              </w:rPr>
              <w:t>105</w:t>
            </w:r>
          </w:p>
        </w:tc>
      </w:tr>
      <w:tr w:rsidR="00285AC6" w:rsidRPr="00285AC6" w:rsidTr="00E53A6A">
        <w:trPr>
          <w:trHeight w:val="496"/>
          <w:jc w:val="center"/>
        </w:trPr>
        <w:tc>
          <w:tcPr>
            <w:tcW w:w="965" w:type="pct"/>
            <w:gridSpan w:val="2"/>
            <w:vAlign w:val="center"/>
          </w:tcPr>
          <w:p w:rsidR="00A429F2" w:rsidRPr="00285AC6" w:rsidRDefault="00A429F2" w:rsidP="00A429F2">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備　註</w:t>
            </w:r>
          </w:p>
        </w:tc>
        <w:tc>
          <w:tcPr>
            <w:tcW w:w="4035" w:type="pct"/>
            <w:gridSpan w:val="10"/>
            <w:shd w:val="clear" w:color="auto" w:fill="auto"/>
            <w:noWrap/>
            <w:vAlign w:val="center"/>
          </w:tcPr>
          <w:p w:rsidR="00A429F2" w:rsidRPr="00285AC6" w:rsidRDefault="00A429F2" w:rsidP="00A429F2">
            <w:pPr>
              <w:spacing w:line="390" w:lineRule="exact"/>
              <w:jc w:val="both"/>
              <w:rPr>
                <w:rFonts w:ascii="標楷體" w:eastAsia="標楷體" w:hAnsi="標楷體"/>
                <w:color w:val="000000" w:themeColor="text1"/>
                <w:sz w:val="28"/>
                <w:szCs w:val="28"/>
              </w:rPr>
            </w:pPr>
            <w:r w:rsidRPr="00285AC6">
              <w:rPr>
                <w:rFonts w:ascii="標楷體" w:eastAsia="標楷體" w:hAnsi="標楷體" w:cs="Times New Roman" w:hint="eastAsia"/>
                <w:color w:val="000000" w:themeColor="text1"/>
                <w:kern w:val="0"/>
                <w:sz w:val="28"/>
                <w:szCs w:val="28"/>
              </w:rPr>
              <w:t>法定應進用</w:t>
            </w:r>
            <w:r w:rsidRPr="00285AC6">
              <w:rPr>
                <w:rFonts w:ascii="標楷體" w:eastAsia="標楷體" w:hAnsi="標楷體" w:cs="Times New Roman"/>
                <w:color w:val="000000" w:themeColor="text1"/>
                <w:kern w:val="0"/>
                <w:sz w:val="28"/>
                <w:szCs w:val="28"/>
              </w:rPr>
              <w:t xml:space="preserve">5,709 </w:t>
            </w:r>
            <w:r w:rsidRPr="00285AC6">
              <w:rPr>
                <w:rFonts w:ascii="標楷體" w:eastAsia="標楷體" w:hAnsi="標楷體" w:cs="Times New Roman" w:hint="eastAsia"/>
                <w:color w:val="000000" w:themeColor="text1"/>
                <w:kern w:val="0"/>
                <w:sz w:val="28"/>
                <w:szCs w:val="28"/>
              </w:rPr>
              <w:t>人，實際已進用</w:t>
            </w:r>
            <w:r w:rsidRPr="00285AC6">
              <w:rPr>
                <w:rFonts w:ascii="標楷體" w:eastAsia="標楷體" w:hAnsi="標楷體" w:cs="Times New Roman"/>
                <w:color w:val="000000" w:themeColor="text1"/>
                <w:kern w:val="0"/>
                <w:sz w:val="28"/>
                <w:szCs w:val="28"/>
              </w:rPr>
              <w:t>8,721</w:t>
            </w:r>
            <w:r w:rsidRPr="00285AC6">
              <w:rPr>
                <w:rFonts w:ascii="標楷體" w:eastAsia="標楷體" w:hAnsi="標楷體" w:cs="Times New Roman" w:hint="eastAsia"/>
                <w:color w:val="000000" w:themeColor="text1"/>
                <w:kern w:val="0"/>
                <w:sz w:val="28"/>
                <w:szCs w:val="28"/>
              </w:rPr>
              <w:t>人，法定應進用未足數</w:t>
            </w:r>
            <w:r w:rsidRPr="00285AC6">
              <w:rPr>
                <w:rFonts w:ascii="標楷體" w:eastAsia="標楷體" w:hAnsi="標楷體" w:cs="Times New Roman"/>
                <w:color w:val="000000" w:themeColor="text1"/>
                <w:kern w:val="0"/>
                <w:sz w:val="28"/>
                <w:szCs w:val="28"/>
              </w:rPr>
              <w:t>119</w:t>
            </w:r>
            <w:r w:rsidRPr="00285AC6">
              <w:rPr>
                <w:rFonts w:ascii="標楷體" w:eastAsia="標楷體" w:hAnsi="標楷體" w:cs="Times New Roman" w:hint="eastAsia"/>
                <w:color w:val="000000" w:themeColor="text1"/>
                <w:kern w:val="0"/>
                <w:sz w:val="28"/>
                <w:szCs w:val="28"/>
              </w:rPr>
              <w:t>人。</w:t>
            </w:r>
          </w:p>
        </w:tc>
      </w:tr>
    </w:tbl>
    <w:p w:rsidR="009820A8" w:rsidRPr="00285AC6" w:rsidRDefault="009820A8"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2.超額進用獎勵</w:t>
      </w:r>
      <w:r w:rsidR="001573C4" w:rsidRPr="00285AC6">
        <w:rPr>
          <w:rFonts w:ascii="標楷體" w:eastAsia="標楷體" w:hAnsi="標楷體" w:hint="eastAsia"/>
          <w:color w:val="000000" w:themeColor="text1"/>
          <w:sz w:val="28"/>
          <w:szCs w:val="28"/>
        </w:rPr>
        <w:t>-</w:t>
      </w:r>
      <w:r w:rsidRPr="00285AC6">
        <w:rPr>
          <w:rFonts w:ascii="標楷體" w:eastAsia="標楷體" w:hAnsi="標楷體" w:hint="eastAsia"/>
          <w:color w:val="000000" w:themeColor="text1"/>
          <w:sz w:val="28"/>
          <w:szCs w:val="28"/>
        </w:rPr>
        <w:t>109年受理申請超額進用獎勵金情形如下：</w:t>
      </w:r>
    </w:p>
    <w:tbl>
      <w:tblPr>
        <w:tblW w:w="555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55"/>
        <w:gridCol w:w="1824"/>
        <w:gridCol w:w="1658"/>
        <w:gridCol w:w="1784"/>
        <w:gridCol w:w="2725"/>
      </w:tblGrid>
      <w:tr w:rsidR="00285AC6" w:rsidRPr="00285AC6" w:rsidTr="00187D5E">
        <w:trPr>
          <w:trHeight w:val="536"/>
          <w:jc w:val="center"/>
        </w:trPr>
        <w:tc>
          <w:tcPr>
            <w:tcW w:w="1062" w:type="pct"/>
            <w:tcBorders>
              <w:top w:val="single" w:sz="12" w:space="0" w:color="auto"/>
              <w:bottom w:val="single" w:sz="6" w:space="0" w:color="auto"/>
              <w:tl2br w:val="single" w:sz="6" w:space="0" w:color="auto"/>
            </w:tcBorders>
          </w:tcPr>
          <w:p w:rsidR="009820A8" w:rsidRPr="00285AC6" w:rsidRDefault="009820A8" w:rsidP="0071148E">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          項目</w:t>
            </w:r>
          </w:p>
          <w:p w:rsidR="009820A8" w:rsidRPr="00285AC6" w:rsidRDefault="009820A8" w:rsidP="0071148E">
            <w:pPr>
              <w:spacing w:line="390" w:lineRule="exact"/>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獎勵期間</w:t>
            </w:r>
          </w:p>
        </w:tc>
        <w:tc>
          <w:tcPr>
            <w:tcW w:w="899" w:type="pc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核定獎勵廠商</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家次</w:t>
            </w:r>
            <w:r w:rsidRPr="00285AC6">
              <w:rPr>
                <w:rFonts w:ascii="標楷體" w:eastAsia="標楷體" w:hAnsi="標楷體"/>
                <w:color w:val="000000" w:themeColor="text1"/>
                <w:sz w:val="28"/>
                <w:szCs w:val="28"/>
              </w:rPr>
              <w:t>)</w:t>
            </w:r>
          </w:p>
        </w:tc>
        <w:tc>
          <w:tcPr>
            <w:tcW w:w="817" w:type="pc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獎勵人數</w:t>
            </w:r>
          </w:p>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人次</w:t>
            </w:r>
            <w:r w:rsidRPr="00285AC6">
              <w:rPr>
                <w:rFonts w:ascii="標楷體" w:eastAsia="標楷體" w:hAnsi="標楷體"/>
                <w:color w:val="000000" w:themeColor="text1"/>
                <w:sz w:val="28"/>
                <w:szCs w:val="28"/>
              </w:rPr>
              <w:t>)</w:t>
            </w:r>
          </w:p>
        </w:tc>
        <w:tc>
          <w:tcPr>
            <w:tcW w:w="879" w:type="pct"/>
            <w:tcBorders>
              <w:bottom w:val="single" w:sz="4"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獎勵金額</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元</w:t>
            </w:r>
            <w:r w:rsidRPr="00285AC6">
              <w:rPr>
                <w:rFonts w:ascii="標楷體" w:eastAsia="標楷體" w:hAnsi="標楷體"/>
                <w:color w:val="000000" w:themeColor="text1"/>
                <w:sz w:val="28"/>
                <w:szCs w:val="28"/>
              </w:rPr>
              <w:t>)</w:t>
            </w:r>
          </w:p>
        </w:tc>
        <w:tc>
          <w:tcPr>
            <w:tcW w:w="1343" w:type="pct"/>
            <w:tcBorders>
              <w:bottom w:val="single" w:sz="4"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備註</w:t>
            </w:r>
          </w:p>
        </w:tc>
      </w:tr>
      <w:tr w:rsidR="00285AC6" w:rsidRPr="00285AC6" w:rsidTr="00F15390">
        <w:trPr>
          <w:trHeight w:val="405"/>
          <w:jc w:val="center"/>
        </w:trPr>
        <w:tc>
          <w:tcPr>
            <w:tcW w:w="1062" w:type="pct"/>
            <w:tcBorders>
              <w:top w:val="single" w:sz="6" w:space="0" w:color="auto"/>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109年第2季</w:t>
            </w:r>
          </w:p>
        </w:tc>
        <w:tc>
          <w:tcPr>
            <w:tcW w:w="899" w:type="pc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37</w:t>
            </w:r>
          </w:p>
        </w:tc>
        <w:tc>
          <w:tcPr>
            <w:tcW w:w="817" w:type="pc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271</w:t>
            </w:r>
          </w:p>
        </w:tc>
        <w:tc>
          <w:tcPr>
            <w:tcW w:w="879" w:type="pc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355</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000</w:t>
            </w:r>
          </w:p>
        </w:tc>
        <w:tc>
          <w:tcPr>
            <w:tcW w:w="1343" w:type="pct"/>
            <w:vMerge w:val="restart"/>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超額獎勵金</w:t>
            </w:r>
          </w:p>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受理申請期間為每季</w:t>
            </w:r>
            <w:r w:rsidRPr="00285AC6">
              <w:rPr>
                <w:rFonts w:ascii="標楷體" w:eastAsia="標楷體" w:hAnsi="標楷體" w:hint="eastAsia"/>
                <w:color w:val="000000" w:themeColor="text1"/>
                <w:sz w:val="28"/>
                <w:szCs w:val="28"/>
              </w:rPr>
              <w:lastRenderedPageBreak/>
              <w:t>結束後兩個月內</w:t>
            </w:r>
          </w:p>
        </w:tc>
      </w:tr>
      <w:tr w:rsidR="00285AC6" w:rsidRPr="00285AC6" w:rsidTr="00187D5E">
        <w:trPr>
          <w:trHeight w:val="420"/>
          <w:jc w:val="center"/>
        </w:trPr>
        <w:tc>
          <w:tcPr>
            <w:tcW w:w="1062" w:type="pct"/>
            <w:tcBorders>
              <w:top w:val="single" w:sz="6" w:space="0" w:color="auto"/>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109年第3季</w:t>
            </w:r>
          </w:p>
        </w:tc>
        <w:tc>
          <w:tcPr>
            <w:tcW w:w="899" w:type="pct"/>
            <w:tcBorders>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36</w:t>
            </w:r>
          </w:p>
        </w:tc>
        <w:tc>
          <w:tcPr>
            <w:tcW w:w="817" w:type="pct"/>
            <w:tcBorders>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205</w:t>
            </w:r>
          </w:p>
        </w:tc>
        <w:tc>
          <w:tcPr>
            <w:tcW w:w="879" w:type="pct"/>
            <w:tcBorders>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1,025,000</w:t>
            </w:r>
          </w:p>
        </w:tc>
        <w:tc>
          <w:tcPr>
            <w:tcW w:w="1343" w:type="pct"/>
            <w:vMerge/>
            <w:tcBorders>
              <w:bottom w:val="single" w:sz="6" w:space="0" w:color="auto"/>
            </w:tcBorders>
            <w:vAlign w:val="center"/>
          </w:tcPr>
          <w:p w:rsidR="009820A8" w:rsidRPr="00285AC6" w:rsidRDefault="009820A8" w:rsidP="0071148E">
            <w:pPr>
              <w:spacing w:line="390" w:lineRule="exact"/>
              <w:jc w:val="center"/>
              <w:rPr>
                <w:rFonts w:ascii="標楷體" w:eastAsia="標楷體" w:hAnsi="標楷體"/>
                <w:color w:val="000000" w:themeColor="text1"/>
                <w:sz w:val="28"/>
                <w:szCs w:val="28"/>
              </w:rPr>
            </w:pPr>
          </w:p>
        </w:tc>
      </w:tr>
    </w:tbl>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二</w:t>
      </w:r>
      <w:r w:rsidRPr="00285AC6">
        <w:rPr>
          <w:rFonts w:hint="eastAsia"/>
          <w:b w:val="0"/>
          <w:color w:val="000000" w:themeColor="text1"/>
        </w:rPr>
        <w:t>)</w:t>
      </w:r>
      <w:r w:rsidR="00A52886" w:rsidRPr="00285AC6">
        <w:rPr>
          <w:rFonts w:hint="eastAsia"/>
          <w:b w:val="0"/>
          <w:color w:val="000000" w:themeColor="text1"/>
        </w:rPr>
        <w:t>身心障礙者就業促進</w:t>
      </w:r>
    </w:p>
    <w:p w:rsidR="00282F39" w:rsidRPr="00285AC6" w:rsidRDefault="008F134D"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00A52886" w:rsidRPr="00285AC6">
        <w:rPr>
          <w:rFonts w:ascii="標楷體" w:eastAsia="標楷體" w:hAnsi="標楷體" w:hint="eastAsia"/>
          <w:color w:val="000000" w:themeColor="text1"/>
          <w:sz w:val="28"/>
          <w:szCs w:val="28"/>
        </w:rPr>
        <w:t>職業重建個案管理</w:t>
      </w:r>
      <w:r w:rsidR="00282F39" w:rsidRPr="00285AC6">
        <w:rPr>
          <w:rFonts w:ascii="標楷體" w:eastAsia="標楷體" w:hAnsi="標楷體" w:hint="eastAsia"/>
          <w:color w:val="000000" w:themeColor="text1"/>
          <w:sz w:val="28"/>
          <w:szCs w:val="28"/>
        </w:rPr>
        <w:br/>
      </w:r>
      <w:r w:rsidR="009820A8" w:rsidRPr="00285AC6">
        <w:rPr>
          <w:rFonts w:ascii="標楷體" w:eastAsia="標楷體" w:hAnsi="標楷體" w:hint="eastAsia"/>
          <w:color w:val="000000" w:themeColor="text1"/>
          <w:sz w:val="28"/>
          <w:szCs w:val="28"/>
        </w:rPr>
        <w:t>109年7月至12月新開案人數2</w:t>
      </w:r>
      <w:r w:rsidR="009820A8" w:rsidRPr="00285AC6">
        <w:rPr>
          <w:rFonts w:ascii="標楷體" w:eastAsia="標楷體" w:hAnsi="標楷體"/>
          <w:color w:val="000000" w:themeColor="text1"/>
          <w:sz w:val="28"/>
          <w:szCs w:val="28"/>
        </w:rPr>
        <w:t>38</w:t>
      </w:r>
      <w:r w:rsidR="009820A8" w:rsidRPr="00285AC6">
        <w:rPr>
          <w:rFonts w:ascii="標楷體" w:eastAsia="標楷體" w:hAnsi="標楷體" w:hint="eastAsia"/>
          <w:color w:val="000000" w:themeColor="text1"/>
          <w:sz w:val="28"/>
          <w:szCs w:val="28"/>
        </w:rPr>
        <w:t>人，累積服務個案人數</w:t>
      </w:r>
      <w:r w:rsidR="009820A8" w:rsidRPr="00285AC6">
        <w:rPr>
          <w:rFonts w:ascii="標楷體" w:eastAsia="標楷體" w:hAnsi="標楷體"/>
          <w:color w:val="000000" w:themeColor="text1"/>
          <w:sz w:val="28"/>
          <w:szCs w:val="28"/>
        </w:rPr>
        <w:t>671</w:t>
      </w:r>
      <w:r w:rsidR="009820A8" w:rsidRPr="00285AC6">
        <w:rPr>
          <w:rFonts w:ascii="標楷體" w:eastAsia="標楷體" w:hAnsi="標楷體" w:hint="eastAsia"/>
          <w:color w:val="000000" w:themeColor="text1"/>
          <w:sz w:val="28"/>
          <w:szCs w:val="28"/>
        </w:rPr>
        <w:t>人。</w:t>
      </w:r>
    </w:p>
    <w:p w:rsidR="00282F39" w:rsidRPr="00285AC6" w:rsidRDefault="008F134D"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w:t>
      </w:r>
      <w:r w:rsidR="00C604E6" w:rsidRPr="00285AC6">
        <w:rPr>
          <w:rFonts w:ascii="標楷體" w:eastAsia="標楷體" w:hAnsi="標楷體" w:hint="eastAsia"/>
          <w:color w:val="000000" w:themeColor="text1"/>
          <w:sz w:val="28"/>
          <w:szCs w:val="28"/>
        </w:rPr>
        <w:t>職業輔導評量</w:t>
      </w:r>
      <w:r w:rsidR="00282F39" w:rsidRPr="00285AC6">
        <w:rPr>
          <w:rFonts w:ascii="標楷體" w:eastAsia="標楷體" w:hAnsi="標楷體" w:hint="eastAsia"/>
          <w:color w:val="000000" w:themeColor="text1"/>
          <w:sz w:val="28"/>
          <w:szCs w:val="28"/>
        </w:rPr>
        <w:br/>
      </w:r>
      <w:r w:rsidR="009820A8" w:rsidRPr="00285AC6">
        <w:rPr>
          <w:rFonts w:ascii="標楷體" w:eastAsia="標楷體" w:hAnsi="標楷體" w:hint="eastAsia"/>
          <w:color w:val="000000" w:themeColor="text1"/>
          <w:sz w:val="28"/>
          <w:szCs w:val="28"/>
        </w:rPr>
        <w:t>109年7月至12月計完成70案身心障礙者評量及報告，依個案需求及運用評量結果轉介支持性、庇護性就業或職業訓練等服務。</w:t>
      </w:r>
    </w:p>
    <w:p w:rsidR="009820A8" w:rsidRPr="00285AC6" w:rsidRDefault="009820A8" w:rsidP="0071148E">
      <w:pPr>
        <w:spacing w:line="390" w:lineRule="exact"/>
        <w:ind w:leftChars="350" w:left="1120" w:hangingChars="100" w:hanging="280"/>
        <w:jc w:val="both"/>
        <w:rPr>
          <w:rFonts w:ascii="標楷體" w:eastAsia="標楷體" w:hAnsi="標楷體" w:cs="Times New Roman"/>
          <w:color w:val="000000" w:themeColor="text1"/>
          <w:sz w:val="28"/>
          <w:szCs w:val="28"/>
        </w:rPr>
      </w:pPr>
      <w:r w:rsidRPr="00285AC6">
        <w:rPr>
          <w:rFonts w:ascii="標楷體" w:eastAsia="標楷體" w:hAnsi="標楷體" w:cs="Times New Roman" w:hint="eastAsia"/>
          <w:color w:val="000000" w:themeColor="text1"/>
          <w:sz w:val="28"/>
          <w:szCs w:val="28"/>
        </w:rPr>
        <w:t>3.職業技能養成訓練(109年7月至12月)</w:t>
      </w:r>
    </w:p>
    <w:p w:rsidR="009820A8" w:rsidRPr="00285AC6" w:rsidRDefault="009820A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)自辦</w:t>
      </w:r>
    </w:p>
    <w:p w:rsidR="009820A8" w:rsidRPr="00285AC6" w:rsidRDefault="009820A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   日間養成職業訓練</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109年電腦資訊、創意設計職類及第一、二梯次清潔洗車職類</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共開設12班，陸續於7月10日及11月28日結訓，結訓人數</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105人，就業人數計</w:t>
      </w:r>
      <w:r w:rsidR="00B41ED1" w:rsidRPr="00285AC6">
        <w:rPr>
          <w:rFonts w:ascii="標楷體" w:eastAsia="標楷體" w:hAnsi="標楷體" w:hint="eastAsia"/>
          <w:color w:val="000000" w:themeColor="text1"/>
          <w:sz w:val="28"/>
          <w:szCs w:val="28"/>
        </w:rPr>
        <w:t>71</w:t>
      </w:r>
      <w:r w:rsidRPr="00285AC6">
        <w:rPr>
          <w:rFonts w:ascii="標楷體" w:eastAsia="標楷體" w:hAnsi="標楷體" w:hint="eastAsia"/>
          <w:color w:val="000000" w:themeColor="text1"/>
          <w:sz w:val="28"/>
          <w:szCs w:val="28"/>
        </w:rPr>
        <w:t>人，就業輔導期至110年2月26日止。</w:t>
      </w:r>
    </w:p>
    <w:p w:rsidR="009820A8" w:rsidRPr="00285AC6" w:rsidRDefault="009820A8" w:rsidP="0071148E">
      <w:pPr>
        <w:spacing w:line="390" w:lineRule="exact"/>
        <w:ind w:leftChars="440" w:left="1476"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)委辦</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\o\ac(○,1)</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rPr>
        <w:t>日間養成職業訓練：109年共開辦6職類班於10</w:t>
      </w:r>
      <w:r w:rsidRPr="00285AC6">
        <w:rPr>
          <w:rFonts w:ascii="標楷體" w:eastAsia="標楷體" w:hAnsi="標楷體"/>
          <w:color w:val="000000" w:themeColor="text1"/>
          <w:sz w:val="28"/>
          <w:szCs w:val="28"/>
        </w:rPr>
        <w:t>9</w:t>
      </w:r>
      <w:r w:rsidRPr="00285AC6">
        <w:rPr>
          <w:rFonts w:ascii="標楷體" w:eastAsia="標楷體" w:hAnsi="標楷體" w:hint="eastAsia"/>
          <w:color w:val="000000" w:themeColor="text1"/>
          <w:sz w:val="28"/>
          <w:szCs w:val="28"/>
        </w:rPr>
        <w:t>年3月至7月陸續開訓，計招收85名學員，結訓83名學員，就業人數計</w:t>
      </w:r>
      <w:r w:rsidR="00B41ED1" w:rsidRPr="00285AC6">
        <w:rPr>
          <w:rFonts w:ascii="標楷體" w:eastAsia="標楷體" w:hAnsi="標楷體" w:hint="eastAsia"/>
          <w:color w:val="000000" w:themeColor="text1"/>
          <w:sz w:val="28"/>
          <w:szCs w:val="28"/>
        </w:rPr>
        <w:t>64</w:t>
      </w:r>
      <w:r w:rsidRPr="00285AC6">
        <w:rPr>
          <w:rFonts w:ascii="標楷體" w:eastAsia="標楷體" w:hAnsi="標楷體" w:hint="eastAsia"/>
          <w:color w:val="000000" w:themeColor="text1"/>
          <w:sz w:val="28"/>
          <w:szCs w:val="28"/>
        </w:rPr>
        <w:t>人。</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\o\ac(○,2)</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rPr>
        <w:t>第二專長</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進修</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職業訓練：109年共開辦6職類班於10</w:t>
      </w:r>
      <w:r w:rsidRPr="00285AC6">
        <w:rPr>
          <w:rFonts w:ascii="標楷體" w:eastAsia="標楷體" w:hAnsi="標楷體"/>
          <w:color w:val="000000" w:themeColor="text1"/>
          <w:sz w:val="28"/>
          <w:szCs w:val="28"/>
        </w:rPr>
        <w:t>9</w:t>
      </w:r>
      <w:r w:rsidRPr="00285AC6">
        <w:rPr>
          <w:rFonts w:ascii="標楷體" w:eastAsia="標楷體" w:hAnsi="標楷體" w:hint="eastAsia"/>
          <w:color w:val="000000" w:themeColor="text1"/>
          <w:sz w:val="28"/>
          <w:szCs w:val="28"/>
        </w:rPr>
        <w:t>年4月至8月陸續開訓，計招收60名學員，結訓60名學員，在職穩定度達93%。</w:t>
      </w:r>
    </w:p>
    <w:p w:rsidR="00713270" w:rsidRPr="00285AC6" w:rsidRDefault="009820A8" w:rsidP="0071148E">
      <w:pPr>
        <w:pStyle w:val="affffffffa"/>
        <w:spacing w:line="390" w:lineRule="exact"/>
        <w:ind w:leftChars="624" w:left="1750" w:right="240" w:hangingChars="90" w:hanging="252"/>
        <w:jc w:val="both"/>
        <w:rPr>
          <w:color w:val="000000" w:themeColor="text1"/>
        </w:rPr>
      </w:pPr>
      <w:r w:rsidRPr="00285AC6">
        <w:rPr>
          <w:color w:val="000000" w:themeColor="text1"/>
        </w:rPr>
        <w:fldChar w:fldCharType="begin"/>
      </w:r>
      <w:r w:rsidRPr="00285AC6">
        <w:rPr>
          <w:color w:val="000000" w:themeColor="text1"/>
        </w:rPr>
        <w:instrText xml:space="preserve"> </w:instrText>
      </w:r>
      <w:r w:rsidRPr="00285AC6">
        <w:rPr>
          <w:rFonts w:hint="eastAsia"/>
          <w:color w:val="000000" w:themeColor="text1"/>
        </w:rPr>
        <w:instrText>eq \o\ac(○,3)</w:instrText>
      </w:r>
      <w:r w:rsidRPr="00285AC6">
        <w:rPr>
          <w:color w:val="000000" w:themeColor="text1"/>
        </w:rPr>
        <w:fldChar w:fldCharType="end"/>
      </w:r>
      <w:r w:rsidRPr="00285AC6">
        <w:rPr>
          <w:rFonts w:hint="eastAsia"/>
          <w:color w:val="000000" w:themeColor="text1"/>
        </w:rPr>
        <w:t>個別職能養成計畫：109年共開辦2班，分別於10</w:t>
      </w:r>
      <w:r w:rsidRPr="00285AC6">
        <w:rPr>
          <w:color w:val="000000" w:themeColor="text1"/>
        </w:rPr>
        <w:t>9</w:t>
      </w:r>
      <w:r w:rsidRPr="00285AC6">
        <w:rPr>
          <w:rFonts w:hint="eastAsia"/>
          <w:color w:val="000000" w:themeColor="text1"/>
        </w:rPr>
        <w:t>年5月、6月開訓，計招收14名學員，結訓14名學員，就業人數計10人。</w:t>
      </w:r>
    </w:p>
    <w:p w:rsidR="00713270" w:rsidRPr="00285AC6" w:rsidRDefault="00713270"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4.支持性就業</w:t>
      </w:r>
    </w:p>
    <w:p w:rsidR="009820A8" w:rsidRPr="00285AC6" w:rsidRDefault="009820A8" w:rsidP="0071148E">
      <w:pPr>
        <w:pStyle w:val="affffffffa"/>
        <w:spacing w:line="390" w:lineRule="exact"/>
        <w:ind w:leftChars="440" w:left="1476" w:right="240" w:hangingChars="150" w:hanging="420"/>
        <w:jc w:val="both"/>
        <w:rPr>
          <w:color w:val="000000" w:themeColor="text1"/>
        </w:rPr>
      </w:pPr>
      <w:r w:rsidRPr="00285AC6">
        <w:rPr>
          <w:rFonts w:hint="eastAsia"/>
          <w:color w:val="000000" w:themeColor="text1"/>
        </w:rPr>
        <w:t>(1)結合民間身障福利團體資源，109年7月至12月自、委辦就業服務，提供身心障礙者支持性就業服務855人，其中新開案數229人、推介成功</w:t>
      </w:r>
      <w:r w:rsidRPr="00285AC6">
        <w:rPr>
          <w:color w:val="000000" w:themeColor="text1"/>
        </w:rPr>
        <w:t>2</w:t>
      </w:r>
      <w:r w:rsidRPr="00285AC6">
        <w:rPr>
          <w:rFonts w:hint="eastAsia"/>
          <w:color w:val="000000" w:themeColor="text1"/>
        </w:rPr>
        <w:t>06人、穩定就業三個月以上169人。</w:t>
      </w:r>
    </w:p>
    <w:p w:rsidR="00713270" w:rsidRPr="00285AC6" w:rsidRDefault="009820A8" w:rsidP="0071148E">
      <w:pPr>
        <w:pStyle w:val="affffffffa"/>
        <w:spacing w:line="390" w:lineRule="exact"/>
        <w:ind w:leftChars="440" w:left="1476" w:right="240" w:hangingChars="150" w:hanging="420"/>
        <w:jc w:val="both"/>
        <w:rPr>
          <w:color w:val="000000" w:themeColor="text1"/>
        </w:rPr>
      </w:pPr>
      <w:r w:rsidRPr="00285AC6">
        <w:rPr>
          <w:rFonts w:hint="eastAsia"/>
          <w:color w:val="000000" w:themeColor="text1"/>
        </w:rPr>
        <w:t>(2)為提高偏鄉身心障礙者就業率，辦理「本市關懷偏鄉身心障礙者就業服務計畫」，109年7月至12月開案人數10人、推介成功14人。</w:t>
      </w:r>
    </w:p>
    <w:p w:rsidR="00BA3074" w:rsidRPr="00285AC6" w:rsidRDefault="00BA3074"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5.庇護性就業服務</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(1)本市庇護工場現有喜憨兒創作料理庇護商店、喜憨兒高雄庇護工場、折翼天使庇護工場、湖畔咖啡屋、美味佳餐坊、一家工場、清潔大師工作隊、中外餅舖庇護工場、喜歡你咖啡鳳山庇護商店及方舟庇護商店等10家，至109年12月累計服務152</w:t>
      </w:r>
      <w:r w:rsidRPr="00285AC6">
        <w:rPr>
          <w:rFonts w:hint="eastAsia"/>
          <w:color w:val="000000" w:themeColor="text1"/>
        </w:rPr>
        <w:lastRenderedPageBreak/>
        <w:t>名庇護性就業者及7名職場見習者。</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(2)</w:t>
      </w:r>
      <w:r w:rsidRPr="00285AC6">
        <w:rPr>
          <w:color w:val="000000" w:themeColor="text1"/>
        </w:rPr>
        <w:t>為強化庇護工場會計帳務管理，健全財務制度，</w:t>
      </w:r>
      <w:r w:rsidRPr="00285AC6">
        <w:rPr>
          <w:rFonts w:hint="eastAsia"/>
          <w:color w:val="000000" w:themeColor="text1"/>
        </w:rPr>
        <w:t>辦理</w:t>
      </w:r>
      <w:r w:rsidRPr="00285AC6">
        <w:rPr>
          <w:color w:val="000000" w:themeColor="text1"/>
        </w:rPr>
        <w:t>庇護工場財務稽核工作</w:t>
      </w:r>
      <w:r w:rsidRPr="00285AC6">
        <w:rPr>
          <w:rFonts w:hint="eastAsia"/>
          <w:color w:val="000000" w:themeColor="text1"/>
        </w:rPr>
        <w:t>，共有一家工場、美味佳餐坊、喜憨兒創作料理庇護商店與折翼天使庇護工場等4家庇護工場獲得優等，餘5家庇護工場獲得甲等，並於109年8月8日在高捷美麗島站光之穹頂公開表揚。</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(3)109年5月15日起至9月26日止在本市庇護工場消費滿300元，贈送保庇刮刮卡乙張，就有機會刮中10.2吋IPad等好獎，共有1</w:t>
      </w:r>
      <w:r w:rsidR="00561740" w:rsidRPr="00285AC6">
        <w:rPr>
          <w:color w:val="000000" w:themeColor="text1"/>
        </w:rPr>
        <w:t>,</w:t>
      </w:r>
      <w:r w:rsidRPr="00285AC6">
        <w:rPr>
          <w:rFonts w:hint="eastAsia"/>
          <w:color w:val="000000" w:themeColor="text1"/>
        </w:rPr>
        <w:t>480個獎項，透過行銷活動刺激買氣，創造銷售話題，有效帶動庇護工場營運銷售額。</w:t>
      </w:r>
    </w:p>
    <w:p w:rsidR="00BA3074"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(4)</w:t>
      </w:r>
      <w:r w:rsidR="00561740" w:rsidRPr="00285AC6">
        <w:rPr>
          <w:rFonts w:hint="eastAsia"/>
          <w:color w:val="000000" w:themeColor="text1"/>
        </w:rPr>
        <w:t>截</w:t>
      </w:r>
      <w:r w:rsidRPr="00285AC6">
        <w:rPr>
          <w:rFonts w:hint="eastAsia"/>
          <w:color w:val="000000" w:themeColor="text1"/>
        </w:rPr>
        <w:t>至109年12月補助庇護工場辦理振興行銷方案暨辦理個別化行銷活動計畫共辦理13場次。</w:t>
      </w:r>
    </w:p>
    <w:p w:rsidR="00BA3074" w:rsidRPr="00285AC6" w:rsidRDefault="00BA3074"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6.職務再設計服務</w:t>
      </w:r>
      <w:r w:rsidRPr="00285AC6">
        <w:rPr>
          <w:rFonts w:ascii="標楷體" w:eastAsia="標楷體" w:hAnsi="標楷體" w:hint="eastAsia"/>
          <w:color w:val="000000" w:themeColor="text1"/>
          <w:sz w:val="28"/>
          <w:szCs w:val="28"/>
        </w:rPr>
        <w:br/>
      </w:r>
      <w:r w:rsidR="009820A8" w:rsidRPr="00285AC6">
        <w:rPr>
          <w:rFonts w:ascii="標楷體" w:eastAsia="標楷體" w:hAnsi="標楷體" w:hint="eastAsia"/>
          <w:color w:val="000000" w:themeColor="text1"/>
          <w:sz w:val="28"/>
          <w:szCs w:val="28"/>
        </w:rPr>
        <w:t>109年7月至12月計核准43件，核准補助金額84萬8,680元。</w:t>
      </w:r>
    </w:p>
    <w:p w:rsidR="008F134D" w:rsidRPr="00285AC6" w:rsidRDefault="008F134D"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7.</w:t>
      </w:r>
      <w:r w:rsidR="00A52886" w:rsidRPr="00285AC6">
        <w:rPr>
          <w:rFonts w:ascii="標楷體" w:eastAsia="標楷體" w:hAnsi="標楷體" w:hint="eastAsia"/>
          <w:color w:val="000000" w:themeColor="text1"/>
          <w:sz w:val="28"/>
          <w:szCs w:val="28"/>
        </w:rPr>
        <w:t>創業輔導</w:t>
      </w:r>
    </w:p>
    <w:p w:rsidR="009820A8"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(1)109年辦理「109用心良品品牌進擊2.0計畫」，共輔導11位身心障礙創業者，7</w:t>
      </w:r>
      <w:r w:rsidR="00561740" w:rsidRPr="00285AC6">
        <w:rPr>
          <w:rFonts w:hint="eastAsia"/>
          <w:color w:val="000000" w:themeColor="text1"/>
        </w:rPr>
        <w:t>至</w:t>
      </w:r>
      <w:r w:rsidRPr="00285AC6">
        <w:rPr>
          <w:rFonts w:hint="eastAsia"/>
          <w:color w:val="000000" w:themeColor="text1"/>
        </w:rPr>
        <w:t>12月營運總績效達76萬6,958元。</w:t>
      </w:r>
    </w:p>
    <w:p w:rsidR="00282F39" w:rsidRPr="00285AC6" w:rsidRDefault="009820A8" w:rsidP="0071148E">
      <w:pPr>
        <w:pStyle w:val="affffffffa"/>
        <w:spacing w:line="390" w:lineRule="exact"/>
        <w:ind w:leftChars="440" w:left="1476" w:rightChars="0" w:right="0" w:hangingChars="150" w:hanging="420"/>
        <w:jc w:val="both"/>
        <w:rPr>
          <w:color w:val="000000" w:themeColor="text1"/>
        </w:rPr>
      </w:pPr>
      <w:r w:rsidRPr="00285AC6">
        <w:rPr>
          <w:rFonts w:hint="eastAsia"/>
          <w:color w:val="000000" w:themeColor="text1"/>
        </w:rPr>
        <w:t>(2)109年7月至12月身障者自力更生創業補助核准5件，補助金額共計30萬2,450元。</w:t>
      </w:r>
    </w:p>
    <w:p w:rsidR="008F134D" w:rsidRPr="00285AC6" w:rsidRDefault="008F134D"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8.</w:t>
      </w:r>
      <w:r w:rsidR="00A52886" w:rsidRPr="00285AC6">
        <w:rPr>
          <w:rFonts w:ascii="標楷體" w:eastAsia="標楷體" w:hAnsi="標楷體" w:hint="eastAsia"/>
          <w:color w:val="000000" w:themeColor="text1"/>
          <w:sz w:val="28"/>
          <w:szCs w:val="28"/>
        </w:rPr>
        <w:t>視障服務</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(1)截至109年12月止，轄內計有按摩師285人、按摩小棧14處、按摩院所68家，並</w:t>
      </w:r>
      <w:r w:rsidRPr="00285AC6">
        <w:rPr>
          <w:rFonts w:ascii="標楷體" w:eastAsia="標楷體" w:hAnsi="標楷體" w:hint="eastAsia"/>
          <w:color w:val="000000" w:themeColor="text1"/>
          <w:sz w:val="28"/>
          <w:szCs w:val="28"/>
          <w:lang w:eastAsia="zh-HK"/>
        </w:rPr>
        <w:t>完成</w:t>
      </w:r>
      <w:r w:rsidRPr="00285AC6">
        <w:rPr>
          <w:rFonts w:ascii="標楷體" w:eastAsia="標楷體" w:hAnsi="標楷體" w:hint="eastAsia"/>
          <w:color w:val="000000" w:themeColor="text1"/>
          <w:sz w:val="28"/>
          <w:szCs w:val="28"/>
        </w:rPr>
        <w:t>109年按摩師電話關懷服務</w:t>
      </w:r>
      <w:r w:rsidRPr="00285AC6">
        <w:rPr>
          <w:rFonts w:ascii="標楷體" w:eastAsia="標楷體" w:hAnsi="標楷體" w:hint="eastAsia"/>
          <w:color w:val="000000" w:themeColor="text1"/>
          <w:sz w:val="28"/>
          <w:szCs w:val="28"/>
          <w:lang w:eastAsia="zh-HK"/>
        </w:rPr>
        <w:t>調查</w:t>
      </w:r>
      <w:r w:rsidRPr="00285AC6">
        <w:rPr>
          <w:rFonts w:ascii="標楷體" w:eastAsia="標楷體" w:hAnsi="標楷體" w:hint="eastAsia"/>
          <w:color w:val="000000" w:themeColor="text1"/>
          <w:sz w:val="28"/>
          <w:szCs w:val="28"/>
        </w:rPr>
        <w:t>，了解按摩師需求與現況</w:t>
      </w:r>
      <w:r w:rsidRPr="00285AC6">
        <w:rPr>
          <w:rFonts w:ascii="標楷體" w:eastAsia="標楷體" w:hAnsi="標楷體" w:hint="eastAsia"/>
          <w:color w:val="000000" w:themeColor="text1"/>
          <w:sz w:val="28"/>
          <w:szCs w:val="28"/>
          <w:lang w:eastAsia="zh-HK"/>
        </w:rPr>
        <w:t>，做為未來施政參考。</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(2)推動視障按摩服務據點新設及經營輔導補助計畫，提供經費補助，協助視障按摩師改善服務據點，109年</w:t>
      </w:r>
      <w:r w:rsidRPr="00285AC6">
        <w:rPr>
          <w:rFonts w:ascii="標楷體" w:eastAsia="標楷體" w:hAnsi="標楷體" w:hint="eastAsia"/>
          <w:color w:val="000000" w:themeColor="text1"/>
          <w:sz w:val="28"/>
          <w:szCs w:val="28"/>
          <w:lang w:eastAsia="zh-HK"/>
        </w:rPr>
        <w:t>下</w:t>
      </w:r>
      <w:r w:rsidRPr="00285AC6">
        <w:rPr>
          <w:rFonts w:ascii="標楷體" w:eastAsia="標楷體" w:hAnsi="標楷體" w:hint="eastAsia"/>
          <w:color w:val="000000" w:themeColor="text1"/>
          <w:sz w:val="28"/>
          <w:szCs w:val="28"/>
        </w:rPr>
        <w:t>半年</w:t>
      </w:r>
      <w:r w:rsidRPr="00285AC6">
        <w:rPr>
          <w:rFonts w:ascii="標楷體" w:eastAsia="標楷體" w:hAnsi="標楷體" w:hint="eastAsia"/>
          <w:color w:val="000000" w:themeColor="text1"/>
          <w:sz w:val="28"/>
          <w:szCs w:val="28"/>
          <w:lang w:eastAsia="zh-HK"/>
        </w:rPr>
        <w:t>受理申請案件</w:t>
      </w:r>
      <w:r w:rsidRPr="00285AC6">
        <w:rPr>
          <w:rFonts w:ascii="標楷體" w:eastAsia="標楷體" w:hAnsi="標楷體" w:hint="eastAsia"/>
          <w:color w:val="000000" w:themeColor="text1"/>
          <w:sz w:val="28"/>
          <w:szCs w:val="28"/>
        </w:rPr>
        <w:t>3案</w:t>
      </w:r>
      <w:r w:rsidRPr="00285AC6">
        <w:rPr>
          <w:rFonts w:ascii="標楷體" w:eastAsia="標楷體" w:hAnsi="標楷體" w:hint="eastAsia"/>
          <w:color w:val="000000" w:themeColor="text1"/>
          <w:sz w:val="28"/>
          <w:szCs w:val="28"/>
          <w:lang w:eastAsia="zh-HK"/>
        </w:rPr>
        <w:t>，核定補助</w:t>
      </w:r>
      <w:r w:rsidRPr="00285AC6">
        <w:rPr>
          <w:rFonts w:ascii="標楷體" w:eastAsia="標楷體" w:hAnsi="標楷體" w:hint="eastAsia"/>
          <w:color w:val="000000" w:themeColor="text1"/>
          <w:sz w:val="28"/>
          <w:szCs w:val="28"/>
        </w:rPr>
        <w:t>3</w:t>
      </w:r>
      <w:r w:rsidRPr="00285AC6">
        <w:rPr>
          <w:rFonts w:ascii="標楷體" w:eastAsia="標楷體" w:hAnsi="標楷體" w:hint="eastAsia"/>
          <w:color w:val="000000" w:themeColor="text1"/>
          <w:sz w:val="28"/>
          <w:szCs w:val="28"/>
          <w:lang w:eastAsia="zh-HK"/>
        </w:rPr>
        <w:t>案，補助金額60萬元，全年補助計5家，補助100萬元，執行率100%</w:t>
      </w:r>
      <w:r w:rsidRPr="00285AC6">
        <w:rPr>
          <w:rFonts w:ascii="標楷體" w:eastAsia="標楷體" w:hAnsi="標楷體" w:hint="eastAsia"/>
          <w:color w:val="000000" w:themeColor="text1"/>
          <w:sz w:val="28"/>
          <w:szCs w:val="28"/>
        </w:rPr>
        <w:t>。</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w:t>
      </w:r>
      <w:r w:rsidRPr="00285AC6">
        <w:rPr>
          <w:rFonts w:ascii="標楷體" w:eastAsia="標楷體" w:hAnsi="標楷體" w:hint="eastAsia"/>
          <w:color w:val="000000" w:themeColor="text1"/>
          <w:sz w:val="28"/>
          <w:szCs w:val="28"/>
          <w:lang w:eastAsia="zh-HK"/>
        </w:rPr>
        <w:t>提升視障按摩師服務品質及企業進用職場應具備之專業素養，109年下半</w:t>
      </w:r>
      <w:r w:rsidRPr="00285AC6">
        <w:rPr>
          <w:rFonts w:ascii="標楷體" w:eastAsia="標楷體" w:hAnsi="標楷體" w:hint="eastAsia"/>
          <w:color w:val="000000" w:themeColor="text1"/>
          <w:sz w:val="28"/>
          <w:szCs w:val="28"/>
        </w:rPr>
        <w:t>年</w:t>
      </w:r>
      <w:r w:rsidRPr="00285AC6">
        <w:rPr>
          <w:rFonts w:ascii="標楷體" w:eastAsia="標楷體" w:hAnsi="標楷體" w:hint="eastAsia"/>
          <w:color w:val="000000" w:themeColor="text1"/>
          <w:sz w:val="28"/>
          <w:szCs w:val="28"/>
          <w:lang w:eastAsia="zh-HK"/>
        </w:rPr>
        <w:t>辦理4場次按摩業經營管理相關課程，強化視障按摩師本職技能，參訓人次112人次。</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(4)職業重建服務與多元職類開發：</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\o\ac(○,1)</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lang w:eastAsia="zh-HK"/>
        </w:rPr>
        <w:t>提供職業重建個案服務及個別化訓練資源，協助視障者尋找適性資源，並運用個案管理服務技巧，深入瞭解視障者就業需求，最大化資源運用效益，截止12月底止，提供30位視障者職業重建服務、5位視障者個別化訓練資源。</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lastRenderedPageBreak/>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\o\ac(○,2)</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lang w:eastAsia="zh-HK"/>
        </w:rPr>
        <w:t>鼓勵視障者主動自我精進職場競爭力，提供取得勞動部甲級或乙級技術士證照，或參加國家考試學習課程之視障者最高1萬元的獎勵或補助金，</w:t>
      </w:r>
      <w:r w:rsidR="00561740" w:rsidRPr="00285AC6">
        <w:rPr>
          <w:rFonts w:ascii="標楷體" w:eastAsia="標楷體" w:hAnsi="標楷體" w:hint="eastAsia"/>
          <w:color w:val="000000" w:themeColor="text1"/>
          <w:sz w:val="28"/>
          <w:szCs w:val="28"/>
        </w:rPr>
        <w:t>109</w:t>
      </w:r>
      <w:r w:rsidRPr="00285AC6">
        <w:rPr>
          <w:rFonts w:ascii="標楷體" w:eastAsia="標楷體" w:hAnsi="標楷體" w:hint="eastAsia"/>
          <w:color w:val="000000" w:themeColor="text1"/>
          <w:sz w:val="28"/>
          <w:szCs w:val="28"/>
          <w:lang w:eastAsia="zh-HK"/>
        </w:rPr>
        <w:t>年度申請案計5案，核定5案，核發補助金5萬元。</w:t>
      </w:r>
    </w:p>
    <w:p w:rsidR="009820A8" w:rsidRPr="00285AC6" w:rsidRDefault="009820A8" w:rsidP="0071148E">
      <w:pPr>
        <w:spacing w:line="390" w:lineRule="exact"/>
        <w:ind w:leftChars="620" w:left="1768"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\o\ac(○,3)</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rPr>
        <w:t>109年度進用4名視障電服員，提供視障者職場工作機會，累積工作經驗。</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(5)推廣行銷視障按摩：</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 xml:space="preserve">   </w:t>
      </w:r>
      <w:r w:rsidRPr="00285AC6">
        <w:rPr>
          <w:rFonts w:ascii="標楷體" w:eastAsia="標楷體" w:hAnsi="標楷體" w:hint="eastAsia"/>
          <w:color w:val="000000" w:themeColor="text1"/>
          <w:sz w:val="28"/>
          <w:szCs w:val="28"/>
          <w:lang w:eastAsia="zh-HK"/>
        </w:rPr>
        <w:t>辦理「視障按摩快閃行銷計畫」，提供市民朋友免費10分鐘按摩體驗活動，藉此促發市民朋友消費視障按摩的意願，活動中創意規劃吸睛快閃店，不僅引發民眾好奇心，也給予民眾一個舒適體驗空間。下</w:t>
      </w:r>
      <w:r w:rsidR="00930620" w:rsidRPr="00285AC6">
        <w:rPr>
          <w:rFonts w:ascii="標楷體" w:eastAsia="標楷體" w:hAnsi="標楷體" w:hint="eastAsia"/>
          <w:color w:val="000000" w:themeColor="text1"/>
          <w:sz w:val="28"/>
          <w:szCs w:val="28"/>
        </w:rPr>
        <w:t>半</w:t>
      </w:r>
      <w:r w:rsidRPr="00285AC6">
        <w:rPr>
          <w:rFonts w:ascii="標楷體" w:eastAsia="標楷體" w:hAnsi="標楷體" w:hint="eastAsia"/>
          <w:color w:val="000000" w:themeColor="text1"/>
          <w:sz w:val="28"/>
          <w:szCs w:val="28"/>
          <w:lang w:eastAsia="zh-HK"/>
        </w:rPr>
        <w:t>年度總計辦理15場體驗，參與服務之視障按摩師計105人次，服務民眾計1,579人次。</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w:t>
      </w:r>
      <w:r w:rsidRPr="00285AC6">
        <w:rPr>
          <w:rFonts w:ascii="標楷體" w:eastAsia="標楷體" w:hAnsi="標楷體" w:hint="eastAsia"/>
          <w:color w:val="000000" w:themeColor="text1"/>
          <w:sz w:val="28"/>
          <w:szCs w:val="28"/>
          <w:lang w:eastAsia="zh-HK"/>
        </w:rPr>
        <w:t>配合中央政府辦理嚴重特殊傳染性肺炎疫情紓困措施：</w:t>
      </w:r>
    </w:p>
    <w:p w:rsidR="009820A8" w:rsidRPr="00285AC6" w:rsidRDefault="009820A8" w:rsidP="0071148E">
      <w:pPr>
        <w:spacing w:line="390" w:lineRule="exact"/>
        <w:ind w:leftChars="620" w:left="1768" w:rightChars="100" w:right="240"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\o\ac(○,1)</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lang w:eastAsia="zh-HK"/>
        </w:rPr>
        <w:t>視覺功能障礙者從事按摩工作補貼計畫：提供視障按摩師每人4萬5千元現金補貼，地方政府或地方工會受理申請後，轉由中央審核及撥款予申請人，申請期間至109年8月31日，本市總計受理申請案327案，中央核撥補貼金額1,430萬元。</w:t>
      </w:r>
    </w:p>
    <w:p w:rsidR="00B47032" w:rsidRPr="00285AC6" w:rsidRDefault="009820A8" w:rsidP="0071148E">
      <w:pPr>
        <w:spacing w:line="390" w:lineRule="exact"/>
        <w:ind w:leftChars="620" w:left="1768" w:rightChars="100" w:right="240" w:hangingChars="100" w:hanging="28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fldChar w:fldCharType="begin"/>
      </w:r>
      <w:r w:rsidRPr="00285AC6">
        <w:rPr>
          <w:rFonts w:ascii="標楷體" w:eastAsia="標楷體" w:hAnsi="標楷體"/>
          <w:color w:val="000000" w:themeColor="text1"/>
          <w:sz w:val="28"/>
          <w:szCs w:val="28"/>
        </w:rPr>
        <w:instrText xml:space="preserve"> </w:instrText>
      </w:r>
      <w:r w:rsidRPr="00285AC6">
        <w:rPr>
          <w:rFonts w:ascii="標楷體" w:eastAsia="標楷體" w:hAnsi="標楷體" w:hint="eastAsia"/>
          <w:color w:val="000000" w:themeColor="text1"/>
          <w:sz w:val="28"/>
          <w:szCs w:val="28"/>
        </w:rPr>
        <w:instrText>eq \o\ac(○,2)</w:instrText>
      </w:r>
      <w:r w:rsidRPr="00285AC6">
        <w:rPr>
          <w:rFonts w:ascii="標楷體" w:eastAsia="標楷體" w:hAnsi="標楷體"/>
          <w:color w:val="000000" w:themeColor="text1"/>
          <w:sz w:val="28"/>
          <w:szCs w:val="28"/>
        </w:rPr>
        <w:fldChar w:fldCharType="end"/>
      </w:r>
      <w:r w:rsidRPr="00285AC6">
        <w:rPr>
          <w:rFonts w:ascii="標楷體" w:eastAsia="標楷體" w:hAnsi="標楷體" w:hint="eastAsia"/>
          <w:color w:val="000000" w:themeColor="text1"/>
          <w:sz w:val="28"/>
          <w:szCs w:val="28"/>
        </w:rPr>
        <w:t>視障按摩據點防疫物資及店內消毒支出經費補助計畫：補貼視障按摩據點購置防疫物資或進行店內消毒之支出，提供每處據點最高5萬元的補助經費(依據點人數而定)。由地方政府向中央申請經費後，受理轄區之申請案並核撥補助金額。補助申請期間至109年12月31日止，總計補助83處據點，補助金額232萬5,036元。</w:t>
      </w:r>
    </w:p>
    <w:p w:rsidR="009820A8" w:rsidRPr="00285AC6" w:rsidRDefault="009820A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9.109年促進身心障礙者就業現場徵才活動：</w:t>
      </w:r>
    </w:p>
    <w:p w:rsidR="009820A8" w:rsidRPr="00285AC6" w:rsidRDefault="009820A8" w:rsidP="0071148E">
      <w:pPr>
        <w:spacing w:line="390" w:lineRule="exact"/>
        <w:ind w:leftChars="472" w:left="1133" w:rightChars="100" w:right="240" w:firstLineChars="1" w:firstLine="3"/>
        <w:jc w:val="both"/>
        <w:rPr>
          <w:rFonts w:ascii="標楷體" w:eastAsia="標楷體" w:hAnsi="Times New Roman" w:cs="標楷體"/>
          <w:color w:val="000000" w:themeColor="text1"/>
          <w:kern w:val="0"/>
          <w:sz w:val="28"/>
          <w:szCs w:val="28"/>
        </w:rPr>
      </w:pPr>
      <w:r w:rsidRPr="00285AC6">
        <w:rPr>
          <w:rFonts w:ascii="標楷體" w:eastAsia="標楷體" w:hAnsi="標楷體" w:hint="eastAsia"/>
          <w:color w:val="000000" w:themeColor="text1"/>
          <w:sz w:val="28"/>
          <w:szCs w:val="28"/>
        </w:rPr>
        <w:t>本活動共計18家廠商報名參加，提供81個職缺，</w:t>
      </w:r>
      <w:r w:rsidRPr="00285AC6">
        <w:rPr>
          <w:rFonts w:ascii="標楷體" w:eastAsia="標楷體" w:hAnsi="Times New Roman" w:cs="標楷體" w:hint="eastAsia"/>
          <w:color w:val="000000" w:themeColor="text1"/>
          <w:kern w:val="0"/>
          <w:sz w:val="28"/>
          <w:szCs w:val="28"/>
        </w:rPr>
        <w:t>當日現場徵才廠商共收投遞履歷表112人次，初步媒合成功率44%。</w:t>
      </w:r>
    </w:p>
    <w:p w:rsidR="00C9468E" w:rsidRPr="00285AC6" w:rsidRDefault="00C9468E" w:rsidP="0071148E">
      <w:pPr>
        <w:spacing w:line="390" w:lineRule="exact"/>
        <w:ind w:leftChars="472" w:left="1133" w:rightChars="100" w:right="240" w:firstLineChars="1" w:firstLine="3"/>
        <w:jc w:val="both"/>
        <w:rPr>
          <w:rFonts w:ascii="標楷體" w:eastAsia="標楷體" w:hAnsi="標楷體"/>
          <w:color w:val="000000" w:themeColor="text1"/>
          <w:sz w:val="28"/>
          <w:szCs w:val="28"/>
        </w:rPr>
      </w:pP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六、勞工福利</w:t>
      </w:r>
    </w:p>
    <w:p w:rsidR="00A52886" w:rsidRPr="00285AC6" w:rsidRDefault="009820A8"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(一)辦理勞工職業災害慰問及職災勞工個案主動服務</w:t>
      </w:r>
    </w:p>
    <w:p w:rsidR="00A52886" w:rsidRPr="00285AC6" w:rsidRDefault="009820A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1.10</w:t>
      </w:r>
      <w:r w:rsidRPr="00285AC6">
        <w:rPr>
          <w:rFonts w:ascii="標楷體" w:eastAsia="標楷體" w:hAnsi="標楷體"/>
          <w:color w:val="000000" w:themeColor="text1"/>
          <w:sz w:val="28"/>
          <w:szCs w:val="28"/>
        </w:rPr>
        <w:t>9</w:t>
      </w:r>
      <w:r w:rsidRPr="00285AC6">
        <w:rPr>
          <w:rFonts w:ascii="標楷體" w:eastAsia="標楷體" w:hAnsi="標楷體" w:hint="eastAsia"/>
          <w:color w:val="000000" w:themeColor="text1"/>
          <w:sz w:val="28"/>
          <w:szCs w:val="28"/>
        </w:rPr>
        <w:t>年7月至12月勞工職業災害慰問金核發案件統計表</w:t>
      </w:r>
    </w:p>
    <w:tbl>
      <w:tblPr>
        <w:tblW w:w="572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4"/>
        <w:gridCol w:w="837"/>
        <w:gridCol w:w="861"/>
        <w:gridCol w:w="767"/>
        <w:gridCol w:w="955"/>
        <w:gridCol w:w="859"/>
        <w:gridCol w:w="855"/>
        <w:gridCol w:w="859"/>
        <w:gridCol w:w="859"/>
        <w:gridCol w:w="859"/>
        <w:gridCol w:w="852"/>
      </w:tblGrid>
      <w:tr w:rsidR="00285AC6" w:rsidRPr="00285AC6" w:rsidTr="00E048D0">
        <w:trPr>
          <w:cantSplit/>
          <w:trHeight w:val="980"/>
          <w:jc w:val="center"/>
        </w:trPr>
        <w:tc>
          <w:tcPr>
            <w:tcW w:w="902" w:type="pct"/>
            <w:vMerge w:val="restart"/>
            <w:tcBorders>
              <w:top w:val="single" w:sz="12" w:space="0" w:color="auto"/>
              <w:bottom w:val="single" w:sz="6" w:space="0" w:color="auto"/>
              <w:tl2br w:val="single" w:sz="6" w:space="0" w:color="auto"/>
            </w:tcBorders>
            <w:shd w:val="clear" w:color="auto" w:fill="auto"/>
            <w:vAlign w:val="center"/>
          </w:tcPr>
          <w:p w:rsidR="009820A8" w:rsidRPr="00285AC6" w:rsidRDefault="009820A8"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 xml:space="preserve">      類別</w:t>
            </w:r>
          </w:p>
          <w:p w:rsidR="009820A8" w:rsidRPr="00285AC6" w:rsidRDefault="009820A8" w:rsidP="0071148E">
            <w:pPr>
              <w:pStyle w:val="affffffff8"/>
              <w:spacing w:line="390" w:lineRule="exact"/>
              <w:ind w:leftChars="100" w:left="800" w:hangingChars="200" w:hanging="560"/>
              <w:jc w:val="both"/>
              <w:rPr>
                <w:color w:val="000000" w:themeColor="text1"/>
                <w:szCs w:val="24"/>
                <w:shd w:val="clear" w:color="auto" w:fill="FFFF00"/>
              </w:rPr>
            </w:pPr>
            <w:r w:rsidRPr="00285AC6">
              <w:rPr>
                <w:rFonts w:hint="eastAsia"/>
                <w:b w:val="0"/>
                <w:color w:val="000000" w:themeColor="text1"/>
              </w:rPr>
              <w:t>預算</w:t>
            </w:r>
          </w:p>
        </w:tc>
        <w:tc>
          <w:tcPr>
            <w:tcW w:w="812" w:type="pct"/>
            <w:gridSpan w:val="2"/>
            <w:shd w:val="clear" w:color="auto" w:fill="auto"/>
            <w:vAlign w:val="center"/>
          </w:tcPr>
          <w:p w:rsidR="009820A8" w:rsidRPr="00285AC6" w:rsidRDefault="009820A8" w:rsidP="0071148E">
            <w:pPr>
              <w:pStyle w:val="affffffff8"/>
              <w:spacing w:line="390" w:lineRule="exact"/>
              <w:ind w:leftChars="54" w:left="802" w:hangingChars="240" w:hanging="672"/>
              <w:rPr>
                <w:b w:val="0"/>
                <w:color w:val="000000" w:themeColor="text1"/>
              </w:rPr>
            </w:pPr>
            <w:r w:rsidRPr="00285AC6">
              <w:rPr>
                <w:rFonts w:hint="eastAsia"/>
                <w:b w:val="0"/>
                <w:color w:val="000000" w:themeColor="text1"/>
              </w:rPr>
              <w:t>職災死亡</w:t>
            </w:r>
          </w:p>
          <w:p w:rsidR="009820A8" w:rsidRPr="00285AC6" w:rsidRDefault="009820A8" w:rsidP="0071148E">
            <w:pPr>
              <w:pStyle w:val="affffffff8"/>
              <w:spacing w:line="390" w:lineRule="exact"/>
              <w:ind w:left="801" w:hangingChars="286" w:hanging="801"/>
              <w:rPr>
                <w:color w:val="000000" w:themeColor="text1"/>
                <w:szCs w:val="24"/>
                <w:shd w:val="clear" w:color="auto" w:fill="FFFF00"/>
              </w:rPr>
            </w:pPr>
            <w:r w:rsidRPr="00285AC6">
              <w:rPr>
                <w:rFonts w:hint="eastAsia"/>
                <w:b w:val="0"/>
                <w:color w:val="000000" w:themeColor="text1"/>
              </w:rPr>
              <w:t>(</w:t>
            </w:r>
            <w:r w:rsidRPr="00285AC6">
              <w:rPr>
                <w:b w:val="0"/>
                <w:color w:val="000000" w:themeColor="text1"/>
              </w:rPr>
              <w:t>10~30</w:t>
            </w:r>
            <w:r w:rsidRPr="00285AC6">
              <w:rPr>
                <w:rFonts w:hint="eastAsia"/>
                <w:b w:val="0"/>
                <w:color w:val="000000" w:themeColor="text1"/>
              </w:rPr>
              <w:t>萬)</w:t>
            </w:r>
          </w:p>
        </w:tc>
        <w:tc>
          <w:tcPr>
            <w:tcW w:w="824" w:type="pct"/>
            <w:gridSpan w:val="2"/>
            <w:shd w:val="clear" w:color="auto" w:fill="auto"/>
            <w:vAlign w:val="center"/>
          </w:tcPr>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職災失能</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b w:val="0"/>
                <w:color w:val="000000" w:themeColor="text1"/>
              </w:rPr>
              <w:t>1-5</w:t>
            </w:r>
            <w:r w:rsidRPr="00285AC6">
              <w:rPr>
                <w:rFonts w:hint="eastAsia"/>
                <w:b w:val="0"/>
                <w:color w:val="000000" w:themeColor="text1"/>
              </w:rPr>
              <w:t>級</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w:t>
            </w:r>
            <w:r w:rsidRPr="00285AC6">
              <w:rPr>
                <w:b w:val="0"/>
                <w:color w:val="000000" w:themeColor="text1"/>
              </w:rPr>
              <w:t>3</w:t>
            </w:r>
            <w:r w:rsidRPr="00285AC6">
              <w:rPr>
                <w:rFonts w:hint="eastAsia"/>
                <w:b w:val="0"/>
                <w:color w:val="000000" w:themeColor="text1"/>
              </w:rPr>
              <w:t>萬)</w:t>
            </w:r>
          </w:p>
        </w:tc>
        <w:tc>
          <w:tcPr>
            <w:tcW w:w="819" w:type="pct"/>
            <w:gridSpan w:val="2"/>
            <w:shd w:val="clear" w:color="auto" w:fill="auto"/>
            <w:vAlign w:val="center"/>
          </w:tcPr>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職災失能</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b w:val="0"/>
                <w:color w:val="000000" w:themeColor="text1"/>
              </w:rPr>
              <w:t>6-10</w:t>
            </w:r>
            <w:r w:rsidRPr="00285AC6">
              <w:rPr>
                <w:rFonts w:hint="eastAsia"/>
                <w:b w:val="0"/>
                <w:color w:val="000000" w:themeColor="text1"/>
              </w:rPr>
              <w:t>級</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w:t>
            </w:r>
            <w:r w:rsidRPr="00285AC6">
              <w:rPr>
                <w:b w:val="0"/>
                <w:color w:val="000000" w:themeColor="text1"/>
              </w:rPr>
              <w:t>2</w:t>
            </w:r>
            <w:r w:rsidRPr="00285AC6">
              <w:rPr>
                <w:rFonts w:hint="eastAsia"/>
                <w:b w:val="0"/>
                <w:color w:val="000000" w:themeColor="text1"/>
              </w:rPr>
              <w:t>萬)</w:t>
            </w:r>
          </w:p>
        </w:tc>
        <w:tc>
          <w:tcPr>
            <w:tcW w:w="821" w:type="pct"/>
            <w:gridSpan w:val="2"/>
            <w:shd w:val="clear" w:color="auto" w:fill="auto"/>
            <w:vAlign w:val="center"/>
          </w:tcPr>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職災失能</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b w:val="0"/>
                <w:color w:val="000000" w:themeColor="text1"/>
              </w:rPr>
              <w:t>11-15</w:t>
            </w:r>
            <w:r w:rsidRPr="00285AC6">
              <w:rPr>
                <w:rFonts w:hint="eastAsia"/>
                <w:b w:val="0"/>
                <w:color w:val="000000" w:themeColor="text1"/>
              </w:rPr>
              <w:t>級</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w:t>
            </w:r>
            <w:r w:rsidRPr="00285AC6">
              <w:rPr>
                <w:b w:val="0"/>
                <w:color w:val="000000" w:themeColor="text1"/>
              </w:rPr>
              <w:t>1</w:t>
            </w:r>
            <w:r w:rsidRPr="00285AC6">
              <w:rPr>
                <w:rFonts w:hint="eastAsia"/>
                <w:b w:val="0"/>
                <w:color w:val="000000" w:themeColor="text1"/>
              </w:rPr>
              <w:t>萬)</w:t>
            </w:r>
          </w:p>
        </w:tc>
        <w:tc>
          <w:tcPr>
            <w:tcW w:w="821" w:type="pct"/>
            <w:gridSpan w:val="2"/>
            <w:shd w:val="clear" w:color="auto" w:fill="auto"/>
            <w:vAlign w:val="center"/>
          </w:tcPr>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總計</w:t>
            </w:r>
          </w:p>
          <w:p w:rsidR="009820A8" w:rsidRPr="00285AC6" w:rsidRDefault="009820A8" w:rsidP="0071148E">
            <w:pPr>
              <w:pStyle w:val="affffffff8"/>
              <w:spacing w:line="390" w:lineRule="exact"/>
              <w:ind w:left="801" w:hangingChars="286" w:hanging="801"/>
              <w:jc w:val="center"/>
              <w:rPr>
                <w:b w:val="0"/>
                <w:color w:val="000000" w:themeColor="text1"/>
              </w:rPr>
            </w:pPr>
            <w:r w:rsidRPr="00285AC6">
              <w:rPr>
                <w:rFonts w:hint="eastAsia"/>
                <w:b w:val="0"/>
                <w:color w:val="000000" w:themeColor="text1"/>
              </w:rPr>
              <w:t>(萬元)</w:t>
            </w:r>
          </w:p>
        </w:tc>
      </w:tr>
      <w:tr w:rsidR="00285AC6" w:rsidRPr="00285AC6" w:rsidTr="00E048D0">
        <w:trPr>
          <w:cantSplit/>
          <w:trHeight w:val="280"/>
          <w:jc w:val="center"/>
        </w:trPr>
        <w:tc>
          <w:tcPr>
            <w:tcW w:w="902" w:type="pct"/>
            <w:vMerge/>
            <w:tcBorders>
              <w:top w:val="single" w:sz="6" w:space="0" w:color="auto"/>
              <w:bottom w:val="single" w:sz="6" w:space="0" w:color="auto"/>
              <w:tl2br w:val="single" w:sz="6" w:space="0" w:color="auto"/>
            </w:tcBorders>
            <w:shd w:val="clear" w:color="auto" w:fill="auto"/>
            <w:vAlign w:val="center"/>
          </w:tcPr>
          <w:p w:rsidR="009820A8" w:rsidRPr="00285AC6" w:rsidRDefault="009820A8" w:rsidP="0071148E">
            <w:pPr>
              <w:spacing w:line="390" w:lineRule="exact"/>
              <w:jc w:val="both"/>
              <w:rPr>
                <w:rFonts w:ascii="標楷體" w:eastAsia="標楷體" w:hAnsi="標楷體"/>
                <w:color w:val="000000" w:themeColor="text1"/>
                <w:sz w:val="28"/>
                <w:szCs w:val="24"/>
                <w:shd w:val="clear" w:color="auto" w:fill="FFFF00"/>
              </w:rPr>
            </w:pPr>
          </w:p>
        </w:tc>
        <w:tc>
          <w:tcPr>
            <w:tcW w:w="401" w:type="pct"/>
            <w:shd w:val="clear" w:color="auto" w:fill="FFFFFF"/>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件數</w:t>
            </w:r>
          </w:p>
        </w:tc>
        <w:tc>
          <w:tcPr>
            <w:tcW w:w="412"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金額</w:t>
            </w:r>
          </w:p>
        </w:tc>
        <w:tc>
          <w:tcPr>
            <w:tcW w:w="367"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件數</w:t>
            </w:r>
          </w:p>
        </w:tc>
        <w:tc>
          <w:tcPr>
            <w:tcW w:w="457"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金額</w:t>
            </w:r>
          </w:p>
        </w:tc>
        <w:tc>
          <w:tcPr>
            <w:tcW w:w="411"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件數</w:t>
            </w:r>
          </w:p>
        </w:tc>
        <w:tc>
          <w:tcPr>
            <w:tcW w:w="409"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金額</w:t>
            </w:r>
          </w:p>
        </w:tc>
        <w:tc>
          <w:tcPr>
            <w:tcW w:w="411"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件數</w:t>
            </w:r>
          </w:p>
        </w:tc>
        <w:tc>
          <w:tcPr>
            <w:tcW w:w="411"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金額</w:t>
            </w:r>
          </w:p>
        </w:tc>
        <w:tc>
          <w:tcPr>
            <w:tcW w:w="411" w:type="pct"/>
            <w:shd w:val="clear" w:color="auto" w:fill="auto"/>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件數</w:t>
            </w:r>
          </w:p>
        </w:tc>
        <w:tc>
          <w:tcPr>
            <w:tcW w:w="411" w:type="pct"/>
            <w:shd w:val="clear" w:color="auto" w:fill="FFFFFF"/>
            <w:vAlign w:val="center"/>
          </w:tcPr>
          <w:p w:rsidR="009820A8" w:rsidRPr="00285AC6" w:rsidRDefault="009820A8" w:rsidP="0071148E">
            <w:pPr>
              <w:pStyle w:val="affffffff8"/>
              <w:spacing w:line="390" w:lineRule="exact"/>
              <w:ind w:leftChars="54" w:left="802" w:hangingChars="240" w:hanging="672"/>
              <w:rPr>
                <w:color w:val="000000" w:themeColor="text1"/>
                <w:szCs w:val="24"/>
                <w:shd w:val="clear" w:color="auto" w:fill="FFFF00"/>
              </w:rPr>
            </w:pPr>
            <w:r w:rsidRPr="00285AC6">
              <w:rPr>
                <w:rFonts w:hint="eastAsia"/>
                <w:b w:val="0"/>
                <w:color w:val="000000" w:themeColor="text1"/>
              </w:rPr>
              <w:t>金額</w:t>
            </w:r>
          </w:p>
        </w:tc>
      </w:tr>
      <w:tr w:rsidR="00285AC6" w:rsidRPr="00285AC6" w:rsidTr="00E048D0">
        <w:trPr>
          <w:cantSplit/>
          <w:trHeight w:val="419"/>
          <w:jc w:val="center"/>
        </w:trPr>
        <w:tc>
          <w:tcPr>
            <w:tcW w:w="902" w:type="pct"/>
            <w:tcBorders>
              <w:top w:val="single" w:sz="6" w:space="0" w:color="auto"/>
              <w:bottom w:val="single" w:sz="6" w:space="0" w:color="auto"/>
              <w:tl2br w:val="nil"/>
            </w:tcBorders>
            <w:shd w:val="clear" w:color="auto" w:fill="auto"/>
            <w:vAlign w:val="center"/>
          </w:tcPr>
          <w:p w:rsidR="009820A8" w:rsidRPr="00285AC6" w:rsidRDefault="009820A8" w:rsidP="0071148E">
            <w:pPr>
              <w:pStyle w:val="17"/>
              <w:spacing w:line="390" w:lineRule="exact"/>
              <w:ind w:leftChars="0" w:left="1120" w:hangingChars="400" w:hanging="1120"/>
              <w:jc w:val="both"/>
              <w:rPr>
                <w:rFonts w:ascii="標楷體" w:eastAsia="標楷體" w:hAnsi="標楷體"/>
                <w:color w:val="000000" w:themeColor="text1"/>
                <w:sz w:val="28"/>
                <w:shd w:val="clear" w:color="auto" w:fill="FFFF00"/>
              </w:rPr>
            </w:pPr>
            <w:r w:rsidRPr="00285AC6">
              <w:rPr>
                <w:rFonts w:ascii="標楷體" w:eastAsia="標楷體" w:hAnsi="標楷體"/>
                <w:color w:val="000000" w:themeColor="text1"/>
                <w:sz w:val="28"/>
                <w:szCs w:val="28"/>
              </w:rPr>
              <w:lastRenderedPageBreak/>
              <w:t>23,048,000</w:t>
            </w:r>
            <w:r w:rsidRPr="00285AC6">
              <w:rPr>
                <w:rFonts w:ascii="標楷體" w:eastAsia="標楷體" w:hAnsi="標楷體" w:hint="eastAsia"/>
                <w:color w:val="000000" w:themeColor="text1"/>
                <w:sz w:val="28"/>
                <w:szCs w:val="28"/>
              </w:rPr>
              <w:t>元</w:t>
            </w:r>
          </w:p>
        </w:tc>
        <w:tc>
          <w:tcPr>
            <w:tcW w:w="40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56</w:t>
            </w:r>
          </w:p>
        </w:tc>
        <w:tc>
          <w:tcPr>
            <w:tcW w:w="412"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998</w:t>
            </w:r>
          </w:p>
        </w:tc>
        <w:tc>
          <w:tcPr>
            <w:tcW w:w="367"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w:t>
            </w:r>
          </w:p>
        </w:tc>
        <w:tc>
          <w:tcPr>
            <w:tcW w:w="457"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30</w:t>
            </w:r>
          </w:p>
        </w:tc>
        <w:tc>
          <w:tcPr>
            <w:tcW w:w="41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30</w:t>
            </w:r>
          </w:p>
        </w:tc>
        <w:tc>
          <w:tcPr>
            <w:tcW w:w="409"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60</w:t>
            </w:r>
          </w:p>
        </w:tc>
        <w:tc>
          <w:tcPr>
            <w:tcW w:w="41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32</w:t>
            </w:r>
          </w:p>
        </w:tc>
        <w:tc>
          <w:tcPr>
            <w:tcW w:w="41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32</w:t>
            </w:r>
          </w:p>
        </w:tc>
        <w:tc>
          <w:tcPr>
            <w:tcW w:w="41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128</w:t>
            </w:r>
          </w:p>
        </w:tc>
        <w:tc>
          <w:tcPr>
            <w:tcW w:w="411" w:type="pct"/>
            <w:shd w:val="clear" w:color="auto" w:fill="auto"/>
            <w:vAlign w:val="center"/>
          </w:tcPr>
          <w:p w:rsidR="009820A8" w:rsidRPr="00285AC6" w:rsidRDefault="009820A8" w:rsidP="0071148E">
            <w:pPr>
              <w:pStyle w:val="17"/>
              <w:spacing w:line="390" w:lineRule="exact"/>
              <w:ind w:leftChars="0" w:left="1120" w:hangingChars="400" w:hanging="1120"/>
              <w:jc w:val="center"/>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w:t>
            </w:r>
            <w:r w:rsidR="00B44410"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120</w:t>
            </w:r>
          </w:p>
        </w:tc>
      </w:tr>
    </w:tbl>
    <w:p w:rsidR="009820A8" w:rsidRPr="00285AC6" w:rsidRDefault="009820A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2.職業災害勞工個案管理服務</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)配合勞動部職業安全衛生署推動職業災害勞工個案主動服務計畫，109年7月至12月服務562位個案，提供職災勞工及家屬心理支持與社會適應。</w:t>
      </w:r>
    </w:p>
    <w:p w:rsidR="009820A8" w:rsidRPr="00285AC6" w:rsidRDefault="009820A8" w:rsidP="0071148E">
      <w:pPr>
        <w:spacing w:line="390" w:lineRule="exact"/>
        <w:ind w:leftChars="440" w:left="1476" w:rightChars="100" w:right="240" w:hangingChars="150" w:hanging="42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2</w:t>
      </w:r>
      <w:r w:rsidRPr="00285AC6">
        <w:rPr>
          <w:rFonts w:ascii="標楷體" w:eastAsia="標楷體" w:hAnsi="標楷體" w:hint="eastAsia"/>
          <w:color w:val="000000" w:themeColor="text1"/>
          <w:sz w:val="28"/>
          <w:szCs w:val="28"/>
        </w:rPr>
        <w:t>)主動關懷職災個案並提供諮詢，109年7月至12月計服務4,916人次。</w:t>
      </w:r>
    </w:p>
    <w:p w:rsidR="009820A8" w:rsidRPr="00285AC6" w:rsidRDefault="009820A8" w:rsidP="0071148E">
      <w:pPr>
        <w:pStyle w:val="17"/>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3.勞工租賃住宅</w:t>
      </w:r>
    </w:p>
    <w:p w:rsidR="00A52886" w:rsidRPr="00285AC6" w:rsidRDefault="009820A8" w:rsidP="0071148E">
      <w:pPr>
        <w:spacing w:line="390" w:lineRule="exact"/>
        <w:ind w:left="1134"/>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為加強各項勞工福利改善勞工生活，本府勞工局經管174戶勞工租賃住宅，提供本市無住屋勞工物美價廉租住，解決低收入勞工居住問題。</w:t>
      </w:r>
    </w:p>
    <w:p w:rsidR="00A52886" w:rsidRPr="00285AC6" w:rsidRDefault="008F1D70"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w:t>
      </w:r>
      <w:r w:rsidR="00A52886" w:rsidRPr="00285AC6">
        <w:rPr>
          <w:rFonts w:hint="eastAsia"/>
          <w:b w:val="0"/>
          <w:color w:val="000000" w:themeColor="text1"/>
        </w:rPr>
        <w:t>二</w:t>
      </w:r>
      <w:r w:rsidRPr="00285AC6">
        <w:rPr>
          <w:rFonts w:hint="eastAsia"/>
          <w:b w:val="0"/>
          <w:color w:val="000000" w:themeColor="text1"/>
        </w:rPr>
        <w:t>)</w:t>
      </w:r>
      <w:r w:rsidR="00A52886" w:rsidRPr="00285AC6">
        <w:rPr>
          <w:rFonts w:hint="eastAsia"/>
          <w:b w:val="0"/>
          <w:color w:val="000000" w:themeColor="text1"/>
        </w:rPr>
        <w:t>勞工住宿與場地租借服務</w:t>
      </w:r>
    </w:p>
    <w:p w:rsidR="00FA58C9" w:rsidRPr="00285AC6" w:rsidRDefault="00FA58C9" w:rsidP="0071148E">
      <w:pPr>
        <w:spacing w:line="390" w:lineRule="exact"/>
        <w:ind w:left="1476" w:hanging="625"/>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1.澄清會館</w:t>
      </w:r>
    </w:p>
    <w:p w:rsidR="00FA58C9" w:rsidRPr="00285AC6" w:rsidRDefault="00FA58C9" w:rsidP="0071148E">
      <w:pPr>
        <w:spacing w:line="390" w:lineRule="exact"/>
        <w:ind w:left="1476" w:hanging="42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w:t>
      </w:r>
      <w:r w:rsidRPr="00285AC6">
        <w:rPr>
          <w:rFonts w:ascii="標楷體" w:eastAsia="標楷體" w:hAnsi="標楷體" w:hint="eastAsia"/>
          <w:color w:val="000000" w:themeColor="text1"/>
          <w:sz w:val="28"/>
          <w:szCs w:val="28"/>
        </w:rPr>
        <w:t>「高雄市勞工教育生活中心澄清會館ROT案」自104年12月18日起委由樺澄開發股份有限公司參與公共建設整建與營運，106年12月19日完成整建，更名為樺舍商旅高雄館正式營運，提供澄清湖特區觀光住宿服務、大型會議研習場地及藝文表演空間，惟本案於109年2月26日因樺澄開發股份有限公司重大違約提前終止投資契約。</w:t>
      </w:r>
    </w:p>
    <w:p w:rsidR="00FA58C9" w:rsidRPr="00285AC6" w:rsidRDefault="00FA58C9" w:rsidP="0071148E">
      <w:pPr>
        <w:spacing w:line="390" w:lineRule="exact"/>
        <w:ind w:left="1476" w:hanging="420"/>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2</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為提供更好的服務品質，提高公共設施有效利用率，109年依促進民間參與公共建設法第42條採政府規劃公告徵求民間參與公共建設方式辦理「高雄市勞工教育生活中心澄清會館ROT案」，希望藉由引進民間參與提供公共服務，發展更多元的服務予市民朋友與社會大眾，促進地方發展及落實勞工福利政策。</w:t>
      </w:r>
    </w:p>
    <w:p w:rsidR="00FA58C9" w:rsidRPr="00285AC6" w:rsidRDefault="00FA58C9"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2.獅甲會館</w:t>
      </w:r>
    </w:p>
    <w:p w:rsidR="00650923" w:rsidRPr="00285AC6" w:rsidRDefault="00FA58C9" w:rsidP="0071148E">
      <w:pPr>
        <w:spacing w:line="390" w:lineRule="exact"/>
        <w:ind w:left="1134"/>
        <w:jc w:val="both"/>
        <w:rPr>
          <w:rFonts w:ascii="標楷體" w:eastAsia="標楷體" w:hAnsi="標楷體"/>
          <w:color w:val="000000" w:themeColor="text1"/>
          <w:sz w:val="28"/>
          <w:szCs w:val="28"/>
        </w:rPr>
      </w:pPr>
      <w:r w:rsidRPr="00285AC6">
        <w:rPr>
          <w:rFonts w:ascii="標楷體" w:eastAsia="標楷體" w:hAnsi="標楷體"/>
          <w:color w:val="000000" w:themeColor="text1"/>
          <w:sz w:val="28"/>
          <w:szCs w:val="28"/>
        </w:rPr>
        <w:t>10</w:t>
      </w:r>
      <w:r w:rsidRPr="00285AC6">
        <w:rPr>
          <w:rFonts w:ascii="標楷體" w:eastAsia="標楷體" w:hAnsi="標楷體" w:hint="eastAsia"/>
          <w:color w:val="000000" w:themeColor="text1"/>
          <w:sz w:val="28"/>
          <w:szCs w:val="28"/>
        </w:rPr>
        <w:t>9</w:t>
      </w:r>
      <w:r w:rsidRPr="00285AC6">
        <w:rPr>
          <w:rFonts w:ascii="標楷體" w:eastAsia="標楷體" w:hAnsi="標楷體"/>
          <w:color w:val="000000" w:themeColor="text1"/>
          <w:sz w:val="28"/>
          <w:szCs w:val="28"/>
        </w:rPr>
        <w:t>年</w:t>
      </w:r>
      <w:r w:rsidRPr="00285AC6">
        <w:rPr>
          <w:rFonts w:ascii="標楷體" w:eastAsia="標楷體" w:hAnsi="標楷體" w:hint="eastAsia"/>
          <w:color w:val="000000" w:themeColor="text1"/>
          <w:sz w:val="28"/>
          <w:szCs w:val="28"/>
        </w:rPr>
        <w:t>7</w:t>
      </w:r>
      <w:r w:rsidRPr="00285AC6">
        <w:rPr>
          <w:rFonts w:ascii="標楷體" w:eastAsia="標楷體" w:hAnsi="標楷體"/>
          <w:color w:val="000000" w:themeColor="text1"/>
          <w:sz w:val="28"/>
          <w:szCs w:val="28"/>
        </w:rPr>
        <w:t>月至</w:t>
      </w:r>
      <w:r w:rsidRPr="00285AC6">
        <w:rPr>
          <w:rFonts w:ascii="標楷體" w:eastAsia="標楷體" w:hAnsi="標楷體" w:hint="eastAsia"/>
          <w:color w:val="000000" w:themeColor="text1"/>
          <w:sz w:val="28"/>
          <w:szCs w:val="28"/>
        </w:rPr>
        <w:t>12</w:t>
      </w:r>
      <w:r w:rsidRPr="00285AC6">
        <w:rPr>
          <w:rFonts w:ascii="標楷體" w:eastAsia="標楷體" w:hAnsi="標楷體"/>
          <w:color w:val="000000" w:themeColor="text1"/>
          <w:sz w:val="28"/>
          <w:szCs w:val="28"/>
        </w:rPr>
        <w:t>月場地租借共計服務</w:t>
      </w:r>
      <w:r w:rsidRPr="00285AC6">
        <w:rPr>
          <w:rFonts w:ascii="標楷體" w:eastAsia="標楷體" w:hAnsi="標楷體" w:hint="eastAsia"/>
          <w:color w:val="000000" w:themeColor="text1"/>
          <w:sz w:val="28"/>
          <w:szCs w:val="28"/>
        </w:rPr>
        <w:t>8</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540</w:t>
      </w:r>
      <w:r w:rsidRPr="00285AC6">
        <w:rPr>
          <w:rFonts w:ascii="標楷體" w:eastAsia="標楷體" w:hAnsi="標楷體"/>
          <w:color w:val="000000" w:themeColor="text1"/>
          <w:sz w:val="28"/>
          <w:szCs w:val="28"/>
        </w:rPr>
        <w:t>人次</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租金收入</w:t>
      </w:r>
      <w:r w:rsidR="009B21D5" w:rsidRPr="00285AC6">
        <w:rPr>
          <w:rFonts w:ascii="標楷體" w:eastAsia="標楷體" w:hAnsi="標楷體" w:hint="eastAsia"/>
          <w:color w:val="000000" w:themeColor="text1"/>
          <w:sz w:val="28"/>
          <w:szCs w:val="28"/>
        </w:rPr>
        <w:t>43</w:t>
      </w:r>
      <w:r w:rsidRPr="00285AC6">
        <w:rPr>
          <w:rFonts w:ascii="標楷體" w:eastAsia="標楷體" w:hAnsi="標楷體"/>
          <w:color w:val="000000" w:themeColor="text1"/>
          <w:sz w:val="28"/>
          <w:szCs w:val="28"/>
        </w:rPr>
        <w:t>萬元</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住宿服務共計</w:t>
      </w:r>
      <w:r w:rsidRPr="00285AC6">
        <w:rPr>
          <w:rFonts w:ascii="標楷體" w:eastAsia="標楷體" w:hAnsi="標楷體" w:hint="eastAsia"/>
          <w:color w:val="000000" w:themeColor="text1"/>
          <w:sz w:val="28"/>
          <w:szCs w:val="28"/>
        </w:rPr>
        <w:t>5</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897</w:t>
      </w:r>
      <w:r w:rsidRPr="00285AC6">
        <w:rPr>
          <w:rFonts w:ascii="標楷體" w:eastAsia="標楷體" w:hAnsi="標楷體"/>
          <w:color w:val="000000" w:themeColor="text1"/>
          <w:sz w:val="28"/>
          <w:szCs w:val="28"/>
        </w:rPr>
        <w:t>人次</w:t>
      </w:r>
      <w:r w:rsidRPr="00285AC6">
        <w:rPr>
          <w:rFonts w:ascii="標楷體" w:eastAsia="標楷體" w:hAnsi="標楷體" w:hint="eastAsia"/>
          <w:color w:val="000000" w:themeColor="text1"/>
          <w:sz w:val="28"/>
          <w:szCs w:val="28"/>
        </w:rPr>
        <w:t>，</w:t>
      </w:r>
      <w:r w:rsidRPr="00285AC6">
        <w:rPr>
          <w:rFonts w:ascii="標楷體" w:eastAsia="標楷體" w:hAnsi="標楷體"/>
          <w:color w:val="000000" w:themeColor="text1"/>
          <w:sz w:val="28"/>
          <w:szCs w:val="28"/>
        </w:rPr>
        <w:t>住宿收入1</w:t>
      </w:r>
      <w:r w:rsidRPr="00285AC6">
        <w:rPr>
          <w:rFonts w:ascii="標楷體" w:eastAsia="標楷體" w:hAnsi="標楷體" w:hint="eastAsia"/>
          <w:color w:val="000000" w:themeColor="text1"/>
          <w:sz w:val="28"/>
          <w:szCs w:val="28"/>
        </w:rPr>
        <w:t>51</w:t>
      </w:r>
      <w:r w:rsidRPr="00285AC6">
        <w:rPr>
          <w:rFonts w:ascii="標楷體" w:eastAsia="標楷體" w:hAnsi="標楷體"/>
          <w:color w:val="000000" w:themeColor="text1"/>
          <w:sz w:val="28"/>
          <w:szCs w:val="28"/>
        </w:rPr>
        <w:t>萬</w:t>
      </w:r>
      <w:r w:rsidRPr="00285AC6">
        <w:rPr>
          <w:rFonts w:ascii="標楷體" w:eastAsia="標楷體" w:hAnsi="標楷體" w:hint="eastAsia"/>
          <w:color w:val="000000" w:themeColor="text1"/>
          <w:sz w:val="28"/>
          <w:szCs w:val="28"/>
        </w:rPr>
        <w:t>3</w:t>
      </w:r>
      <w:r w:rsidRPr="00285AC6">
        <w:rPr>
          <w:rFonts w:ascii="標楷體" w:eastAsia="標楷體" w:hAnsi="標楷體"/>
          <w:color w:val="000000" w:themeColor="text1"/>
          <w:sz w:val="28"/>
          <w:szCs w:val="28"/>
        </w:rPr>
        <w:t>,</w:t>
      </w:r>
      <w:r w:rsidRPr="00285AC6">
        <w:rPr>
          <w:rFonts w:ascii="標楷體" w:eastAsia="標楷體" w:hAnsi="標楷體" w:hint="eastAsia"/>
          <w:color w:val="000000" w:themeColor="text1"/>
          <w:sz w:val="28"/>
          <w:szCs w:val="28"/>
        </w:rPr>
        <w:t>395</w:t>
      </w:r>
      <w:r w:rsidRPr="00285AC6">
        <w:rPr>
          <w:rFonts w:ascii="標楷體" w:eastAsia="標楷體" w:hAnsi="標楷體"/>
          <w:color w:val="000000" w:themeColor="text1"/>
          <w:sz w:val="28"/>
          <w:szCs w:val="28"/>
        </w:rPr>
        <w:t>元。</w:t>
      </w:r>
    </w:p>
    <w:p w:rsidR="00C9468E" w:rsidRPr="00285AC6" w:rsidRDefault="00C9468E" w:rsidP="0071148E">
      <w:pPr>
        <w:spacing w:line="390" w:lineRule="exact"/>
        <w:ind w:left="1134"/>
        <w:jc w:val="both"/>
        <w:rPr>
          <w:rFonts w:ascii="標楷體" w:eastAsia="標楷體" w:hAnsi="標楷體"/>
          <w:color w:val="000000" w:themeColor="text1"/>
          <w:sz w:val="28"/>
          <w:szCs w:val="28"/>
        </w:rPr>
      </w:pPr>
    </w:p>
    <w:p w:rsidR="00A52886" w:rsidRPr="00285AC6" w:rsidRDefault="00A52886" w:rsidP="0071148E">
      <w:pPr>
        <w:pStyle w:val="affffffff6"/>
        <w:spacing w:before="0" w:after="0" w:line="390" w:lineRule="exact"/>
        <w:jc w:val="both"/>
        <w:rPr>
          <w:rFonts w:ascii="標楷體" w:eastAsia="標楷體" w:hAnsi="標楷體"/>
          <w:color w:val="000000" w:themeColor="text1"/>
          <w:sz w:val="32"/>
          <w:szCs w:val="32"/>
        </w:rPr>
      </w:pPr>
      <w:r w:rsidRPr="00285AC6">
        <w:rPr>
          <w:rFonts w:ascii="標楷體" w:eastAsia="標楷體" w:hAnsi="標楷體" w:hint="eastAsia"/>
          <w:color w:val="000000" w:themeColor="text1"/>
          <w:sz w:val="32"/>
          <w:szCs w:val="32"/>
        </w:rPr>
        <w:t>七、勞工博物館營運</w:t>
      </w:r>
    </w:p>
    <w:p w:rsidR="00FA58C9" w:rsidRPr="00285AC6" w:rsidRDefault="00FA58C9" w:rsidP="0071148E">
      <w:pPr>
        <w:pStyle w:val="affffffff8"/>
        <w:spacing w:line="390" w:lineRule="exact"/>
        <w:ind w:leftChars="100" w:left="800" w:hangingChars="200" w:hanging="560"/>
        <w:jc w:val="both"/>
        <w:rPr>
          <w:b w:val="0"/>
          <w:color w:val="000000" w:themeColor="text1"/>
        </w:rPr>
      </w:pPr>
      <w:r w:rsidRPr="00285AC6">
        <w:rPr>
          <w:rFonts w:hint="eastAsia"/>
          <w:b w:val="0"/>
          <w:color w:val="000000" w:themeColor="text1"/>
        </w:rPr>
        <w:t>(一)勞動議題展覽</w:t>
      </w:r>
    </w:p>
    <w:p w:rsidR="00FA58C9" w:rsidRPr="00285AC6" w:rsidRDefault="00FA58C9" w:rsidP="0071148E">
      <w:pPr>
        <w:spacing w:line="390" w:lineRule="exact"/>
        <w:ind w:left="1120" w:hanging="280"/>
        <w:jc w:val="both"/>
        <w:rPr>
          <w:rFonts w:ascii="Times New Roman" w:hAnsi="Times New Roman" w:cs="Times New Roman"/>
          <w:color w:val="000000" w:themeColor="text1"/>
          <w:szCs w:val="24"/>
        </w:rPr>
      </w:pPr>
      <w:r w:rsidRPr="00285AC6">
        <w:rPr>
          <w:rFonts w:ascii="標楷體" w:eastAsia="標楷體" w:hAnsi="標楷體" w:cs="Times New Roman"/>
          <w:color w:val="000000" w:themeColor="text1"/>
          <w:sz w:val="28"/>
          <w:szCs w:val="28"/>
        </w:rPr>
        <w:t>1.</w:t>
      </w:r>
      <w:r w:rsidRPr="00285AC6">
        <w:rPr>
          <w:rFonts w:ascii="標楷體" w:eastAsia="標楷體" w:hAnsi="標楷體" w:cs="Times New Roman" w:hint="eastAsia"/>
          <w:color w:val="000000" w:themeColor="text1"/>
          <w:sz w:val="28"/>
          <w:szCs w:val="28"/>
        </w:rPr>
        <w:t>勞工博物館以高雄勞動、產業發展歷史及各年代之代表性產業勞動者生命經驗為主軸，辦理勞動相關議題特展及常設展，109年7月至12月共計近1萬人次蒞臨本館參觀。</w:t>
      </w:r>
    </w:p>
    <w:p w:rsidR="00FA58C9" w:rsidRPr="00285AC6" w:rsidRDefault="00FA58C9" w:rsidP="0071148E">
      <w:pPr>
        <w:pStyle w:val="15"/>
        <w:spacing w:line="390" w:lineRule="exact"/>
        <w:ind w:leftChars="350" w:left="1120" w:hangingChars="100" w:hanging="280"/>
        <w:jc w:val="both"/>
        <w:rPr>
          <w:rFonts w:ascii="標楷體" w:eastAsia="標楷體" w:hAnsi="標楷體"/>
          <w:color w:val="000000" w:themeColor="text1"/>
          <w:sz w:val="28"/>
          <w:szCs w:val="28"/>
        </w:rPr>
      </w:pPr>
      <w:r w:rsidRPr="00285AC6">
        <w:rPr>
          <w:rFonts w:ascii="標楷體" w:eastAsia="標楷體" w:hAnsi="標楷體" w:cs="Cordia New"/>
          <w:color w:val="000000" w:themeColor="text1"/>
          <w:sz w:val="28"/>
          <w:szCs w:val="28"/>
        </w:rPr>
        <w:t>2.</w:t>
      </w:r>
      <w:r w:rsidRPr="00285AC6">
        <w:rPr>
          <w:rFonts w:ascii="標楷體" w:eastAsia="標楷體" w:hAnsi="標楷體" w:cs="Cordia New" w:hint="eastAsia"/>
          <w:color w:val="000000" w:themeColor="text1"/>
          <w:sz w:val="28"/>
          <w:szCs w:val="28"/>
        </w:rPr>
        <w:t>爭取文化部108-109年度「前瞻基礎建設計畫-博物館及地方文化館升級計畫」博物館與地方文化館提升計畫，109年經文化部核定</w:t>
      </w:r>
      <w:r w:rsidRPr="00285AC6">
        <w:rPr>
          <w:rFonts w:ascii="標楷體" w:eastAsia="標楷體" w:hAnsi="標楷體" w:cs="Cordia New" w:hint="eastAsia"/>
          <w:color w:val="000000" w:themeColor="text1"/>
          <w:sz w:val="28"/>
          <w:szCs w:val="28"/>
        </w:rPr>
        <w:lastRenderedPageBreak/>
        <w:t>補助經常門108萬元，辦理友善平權–心南向交流營、《工會ㄟ故事，咱自己說》系列展覽計畫、移展攤車設計及典藏數位化-勞動文物數位加值計畫，持續提升展覽、研究、典藏及推廣教育四大功能。並配合展覽辦理自力造舟、大漁旗手繪、導覽及手造舟等人氣推廣活動32場次，參加人次近700人，迴響熱烈。此外亦持續透過召開典藏審議小組，已將4,765件勞動文史相關物件納入典藏，現已導入文典共構公版系統平台1,474件文物可供查詢，公共化比率達31%。</w:t>
      </w:r>
    </w:p>
    <w:p w:rsidR="00FA58C9" w:rsidRPr="00285AC6" w:rsidRDefault="00FA58C9" w:rsidP="0071148E">
      <w:pPr>
        <w:pStyle w:val="affffffff8"/>
        <w:spacing w:line="390" w:lineRule="exact"/>
        <w:ind w:leftChars="100" w:left="800" w:hangingChars="200" w:hanging="560"/>
        <w:jc w:val="both"/>
        <w:rPr>
          <w:b w:val="0"/>
          <w:color w:val="000000" w:themeColor="text1"/>
        </w:rPr>
      </w:pPr>
      <w:r w:rsidRPr="00285AC6">
        <w:rPr>
          <w:b w:val="0"/>
          <w:color w:val="000000" w:themeColor="text1"/>
        </w:rPr>
        <w:t>(二)</w:t>
      </w:r>
      <w:r w:rsidRPr="00285AC6">
        <w:rPr>
          <w:rFonts w:hint="eastAsia"/>
          <w:b w:val="0"/>
          <w:color w:val="000000" w:themeColor="text1"/>
        </w:rPr>
        <w:t>推出移工動畫製作讓勞動教育向下札根</w:t>
      </w:r>
    </w:p>
    <w:p w:rsidR="00010D0B" w:rsidRPr="00285AC6" w:rsidRDefault="00FA58C9" w:rsidP="0071148E">
      <w:pPr>
        <w:spacing w:line="390" w:lineRule="exact"/>
        <w:ind w:left="826"/>
        <w:jc w:val="both"/>
        <w:rPr>
          <w:rFonts w:ascii="標楷體" w:eastAsia="標楷體" w:hAnsi="標楷體"/>
          <w:color w:val="000000" w:themeColor="text1"/>
          <w:sz w:val="28"/>
          <w:szCs w:val="28"/>
        </w:rPr>
      </w:pPr>
      <w:r w:rsidRPr="00285AC6">
        <w:rPr>
          <w:rFonts w:ascii="標楷體" w:eastAsia="標楷體" w:hAnsi="標楷體" w:hint="eastAsia"/>
          <w:color w:val="000000" w:themeColor="text1"/>
          <w:sz w:val="28"/>
          <w:szCs w:val="28"/>
        </w:rPr>
        <w:t>109年辦理「勞動部109年就安基金移工動畫計畫」，成功扭轉勞動議題敘事方式，以創新手法及多語版本，將移工議題推廣至社會大眾，於多個新聞媒體及東南亞社群曝光，促進友善平權成效斐然。109年爭取勞動部就安基金補助188萬元，辦理「世界的新世界」移工動畫製作計畫。</w:t>
      </w:r>
      <w:bookmarkEnd w:id="0"/>
    </w:p>
    <w:sectPr w:rsidR="00010D0B" w:rsidRPr="00285AC6" w:rsidSect="008C16B7">
      <w:footerReference w:type="default" r:id="rId8"/>
      <w:pgSz w:w="11906" w:h="16838" w:code="9"/>
      <w:pgMar w:top="1418" w:right="1418" w:bottom="1418" w:left="1418"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1A" w:rsidRDefault="005A1E1A" w:rsidP="00F43485">
      <w:r>
        <w:separator/>
      </w:r>
    </w:p>
  </w:endnote>
  <w:endnote w:type="continuationSeparator" w:id="0">
    <w:p w:rsidR="005A1E1A" w:rsidRDefault="005A1E1A"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altName w:val="新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800002A3" w:usb1="38CF7C7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5E" w:rsidRPr="002531C2" w:rsidRDefault="00187D5E" w:rsidP="002531C2">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1A" w:rsidRDefault="005A1E1A" w:rsidP="00F43485">
      <w:r>
        <w:separator/>
      </w:r>
    </w:p>
  </w:footnote>
  <w:footnote w:type="continuationSeparator" w:id="0">
    <w:p w:rsidR="005A1E1A" w:rsidRDefault="005A1E1A"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00B58DB"/>
    <w:multiLevelType w:val="hybridMultilevel"/>
    <w:tmpl w:val="363053B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8A95C67"/>
    <w:multiLevelType w:val="hybridMultilevel"/>
    <w:tmpl w:val="627C9EA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0AF75714"/>
    <w:multiLevelType w:val="hybridMultilevel"/>
    <w:tmpl w:val="95CAFAFE"/>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0C096B3E"/>
    <w:multiLevelType w:val="hybridMultilevel"/>
    <w:tmpl w:val="1FD487B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0CCB09C2"/>
    <w:multiLevelType w:val="hybridMultilevel"/>
    <w:tmpl w:val="EEBE809C"/>
    <w:lvl w:ilvl="0" w:tplc="0409000F">
      <w:start w:val="1"/>
      <w:numFmt w:val="decimal"/>
      <w:lvlText w:val="(%1)"/>
      <w:lvlJc w:val="left"/>
      <w:pPr>
        <w:ind w:left="1536" w:hanging="480"/>
      </w:pPr>
      <w:rPr>
        <w:rFonts w:hint="default"/>
        <w:color w:val="000000"/>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16" w15:restartNumberingAfterBreak="0">
    <w:nsid w:val="0CD0311B"/>
    <w:multiLevelType w:val="hybridMultilevel"/>
    <w:tmpl w:val="7F369B24"/>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15:restartNumberingAfterBreak="0">
    <w:nsid w:val="0DE06FDA"/>
    <w:multiLevelType w:val="hybridMultilevel"/>
    <w:tmpl w:val="20A2582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0E1C79E3"/>
    <w:multiLevelType w:val="hybridMultilevel"/>
    <w:tmpl w:val="C780F7F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11EE7A3C"/>
    <w:multiLevelType w:val="hybridMultilevel"/>
    <w:tmpl w:val="6166216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126F4E47"/>
    <w:multiLevelType w:val="hybridMultilevel"/>
    <w:tmpl w:val="E8D2501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13863FE7"/>
    <w:multiLevelType w:val="hybridMultilevel"/>
    <w:tmpl w:val="C466391A"/>
    <w:lvl w:ilvl="0" w:tplc="03B82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79F5F81"/>
    <w:multiLevelType w:val="hybridMultilevel"/>
    <w:tmpl w:val="0504E98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1ED75BE8"/>
    <w:multiLevelType w:val="hybridMultilevel"/>
    <w:tmpl w:val="328CA36A"/>
    <w:lvl w:ilvl="0" w:tplc="3AA8BC38">
      <w:start w:val="1"/>
      <w:numFmt w:val="upperLetter"/>
      <w:lvlText w:val="%1."/>
      <w:lvlJc w:val="left"/>
      <w:pPr>
        <w:ind w:left="2369" w:hanging="360"/>
      </w:pPr>
    </w:lvl>
    <w:lvl w:ilvl="1" w:tplc="04090019">
      <w:start w:val="1"/>
      <w:numFmt w:val="ideographTraditional"/>
      <w:lvlText w:val="%2、"/>
      <w:lvlJc w:val="left"/>
      <w:pPr>
        <w:ind w:left="2969" w:hanging="480"/>
      </w:pPr>
    </w:lvl>
    <w:lvl w:ilvl="2" w:tplc="0409001B">
      <w:start w:val="1"/>
      <w:numFmt w:val="lowerRoman"/>
      <w:lvlText w:val="%3."/>
      <w:lvlJc w:val="right"/>
      <w:pPr>
        <w:ind w:left="3449" w:hanging="480"/>
      </w:pPr>
    </w:lvl>
    <w:lvl w:ilvl="3" w:tplc="0409000F">
      <w:start w:val="1"/>
      <w:numFmt w:val="decimal"/>
      <w:lvlText w:val="%4."/>
      <w:lvlJc w:val="left"/>
      <w:pPr>
        <w:ind w:left="3929" w:hanging="480"/>
      </w:pPr>
    </w:lvl>
    <w:lvl w:ilvl="4" w:tplc="04090019">
      <w:start w:val="1"/>
      <w:numFmt w:val="ideographTraditional"/>
      <w:lvlText w:val="%5、"/>
      <w:lvlJc w:val="left"/>
      <w:pPr>
        <w:ind w:left="4409" w:hanging="480"/>
      </w:pPr>
    </w:lvl>
    <w:lvl w:ilvl="5" w:tplc="0409001B">
      <w:start w:val="1"/>
      <w:numFmt w:val="lowerRoman"/>
      <w:lvlText w:val="%6."/>
      <w:lvlJc w:val="right"/>
      <w:pPr>
        <w:ind w:left="4889" w:hanging="480"/>
      </w:pPr>
    </w:lvl>
    <w:lvl w:ilvl="6" w:tplc="0409000F">
      <w:start w:val="1"/>
      <w:numFmt w:val="decimal"/>
      <w:lvlText w:val="%7."/>
      <w:lvlJc w:val="left"/>
      <w:pPr>
        <w:ind w:left="5369" w:hanging="480"/>
      </w:pPr>
    </w:lvl>
    <w:lvl w:ilvl="7" w:tplc="04090019">
      <w:start w:val="1"/>
      <w:numFmt w:val="ideographTraditional"/>
      <w:lvlText w:val="%8、"/>
      <w:lvlJc w:val="left"/>
      <w:pPr>
        <w:ind w:left="5849" w:hanging="480"/>
      </w:pPr>
    </w:lvl>
    <w:lvl w:ilvl="8" w:tplc="0409001B">
      <w:start w:val="1"/>
      <w:numFmt w:val="lowerRoman"/>
      <w:lvlText w:val="%9."/>
      <w:lvlJc w:val="right"/>
      <w:pPr>
        <w:ind w:left="6329" w:hanging="480"/>
      </w:pPr>
    </w:lvl>
  </w:abstractNum>
  <w:abstractNum w:abstractNumId="25" w15:restartNumberingAfterBreak="0">
    <w:nsid w:val="22E734DE"/>
    <w:multiLevelType w:val="hybridMultilevel"/>
    <w:tmpl w:val="8E4C9B3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8063695"/>
    <w:multiLevelType w:val="hybridMultilevel"/>
    <w:tmpl w:val="7C5437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29FB2C4B"/>
    <w:multiLevelType w:val="hybridMultilevel"/>
    <w:tmpl w:val="A78EA5A6"/>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36662D2B"/>
    <w:multiLevelType w:val="hybridMultilevel"/>
    <w:tmpl w:val="831C3D8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3746427C"/>
    <w:multiLevelType w:val="hybridMultilevel"/>
    <w:tmpl w:val="14B81B3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37EA3931"/>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389F64A0"/>
    <w:multiLevelType w:val="hybridMultilevel"/>
    <w:tmpl w:val="329E2C44"/>
    <w:lvl w:ilvl="0" w:tplc="0409000F">
      <w:start w:val="1"/>
      <w:numFmt w:val="decimal"/>
      <w:lvlText w:val="(%1)"/>
      <w:lvlJc w:val="left"/>
      <w:pPr>
        <w:ind w:left="1536" w:hanging="480"/>
      </w:pPr>
      <w:rPr>
        <w:rFonts w:hint="default"/>
        <w:color w:val="000000"/>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3" w15:restartNumberingAfterBreak="0">
    <w:nsid w:val="38DB6827"/>
    <w:multiLevelType w:val="hybridMultilevel"/>
    <w:tmpl w:val="ED28D2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38F5434B"/>
    <w:multiLevelType w:val="hybridMultilevel"/>
    <w:tmpl w:val="65D4EC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395C39B3"/>
    <w:multiLevelType w:val="hybridMultilevel"/>
    <w:tmpl w:val="6658D40C"/>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3E61486D"/>
    <w:multiLevelType w:val="hybridMultilevel"/>
    <w:tmpl w:val="68D88086"/>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42A73E9D"/>
    <w:multiLevelType w:val="hybridMultilevel"/>
    <w:tmpl w:val="BF942CA4"/>
    <w:lvl w:ilvl="0" w:tplc="FFB2DB82">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8" w15:restartNumberingAfterBreak="0">
    <w:nsid w:val="47292059"/>
    <w:multiLevelType w:val="hybridMultilevel"/>
    <w:tmpl w:val="BC7C6340"/>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0" w15:restartNumberingAfterBreak="0">
    <w:nsid w:val="4A3B10F7"/>
    <w:multiLevelType w:val="hybridMultilevel"/>
    <w:tmpl w:val="5DAC06C4"/>
    <w:lvl w:ilvl="0" w:tplc="0409000F">
      <w:start w:val="1"/>
      <w:numFmt w:val="decimal"/>
      <w:lvlText w:val="(%1)"/>
      <w:lvlJc w:val="left"/>
      <w:pPr>
        <w:ind w:left="1536" w:hanging="480"/>
      </w:pPr>
      <w:rPr>
        <w:rFonts w:hint="default"/>
        <w:color w:val="000000"/>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41"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42" w15:restartNumberingAfterBreak="0">
    <w:nsid w:val="4E2815E4"/>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4" w15:restartNumberingAfterBreak="0">
    <w:nsid w:val="5A177C72"/>
    <w:multiLevelType w:val="hybridMultilevel"/>
    <w:tmpl w:val="7638DB7E"/>
    <w:lvl w:ilvl="0" w:tplc="479A2DAC">
      <w:start w:val="2"/>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5F213BE5"/>
    <w:multiLevelType w:val="hybridMultilevel"/>
    <w:tmpl w:val="6E4254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69D0122D"/>
    <w:multiLevelType w:val="hybridMultilevel"/>
    <w:tmpl w:val="87E2736E"/>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15:restartNumberingAfterBreak="0">
    <w:nsid w:val="6AFA442C"/>
    <w:multiLevelType w:val="hybridMultilevel"/>
    <w:tmpl w:val="543E52F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6D110538"/>
    <w:multiLevelType w:val="hybridMultilevel"/>
    <w:tmpl w:val="2A020B2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0" w15:restartNumberingAfterBreak="0">
    <w:nsid w:val="71EE190E"/>
    <w:multiLevelType w:val="hybridMultilevel"/>
    <w:tmpl w:val="6F8A834C"/>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2"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3" w15:restartNumberingAfterBreak="0">
    <w:nsid w:val="76EA4DA7"/>
    <w:multiLevelType w:val="hybridMultilevel"/>
    <w:tmpl w:val="2C7865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78F52FD4"/>
    <w:multiLevelType w:val="hybridMultilevel"/>
    <w:tmpl w:val="BA00163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5" w15:restartNumberingAfterBreak="0">
    <w:nsid w:val="7CA2308A"/>
    <w:multiLevelType w:val="hybridMultilevel"/>
    <w:tmpl w:val="696AA21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9"/>
  </w:num>
  <w:num w:numId="2">
    <w:abstractNumId w:val="43"/>
  </w:num>
  <w:num w:numId="3">
    <w:abstractNumId w:val="52"/>
  </w:num>
  <w:num w:numId="4">
    <w:abstractNumId w:val="26"/>
  </w:num>
  <w:num w:numId="5">
    <w:abstractNumId w:val="39"/>
  </w:num>
  <w:num w:numId="6">
    <w:abstractNumId w:val="51"/>
  </w:num>
  <w:num w:numId="7">
    <w:abstractNumId w:val="41"/>
  </w:num>
  <w:num w:numId="8">
    <w:abstractNumId w:val="10"/>
  </w:num>
  <w:num w:numId="9">
    <w:abstractNumId w:val="11"/>
  </w:num>
  <w:num w:numId="10">
    <w:abstractNumId w:val="17"/>
  </w:num>
  <w:num w:numId="11">
    <w:abstractNumId w:val="48"/>
  </w:num>
  <w:num w:numId="12">
    <w:abstractNumId w:val="12"/>
  </w:num>
  <w:num w:numId="13">
    <w:abstractNumId w:val="14"/>
  </w:num>
  <w:num w:numId="14">
    <w:abstractNumId w:val="50"/>
  </w:num>
  <w:num w:numId="15">
    <w:abstractNumId w:val="47"/>
  </w:num>
  <w:num w:numId="16">
    <w:abstractNumId w:val="54"/>
  </w:num>
  <w:num w:numId="17">
    <w:abstractNumId w:val="20"/>
  </w:num>
  <w:num w:numId="18">
    <w:abstractNumId w:val="34"/>
  </w:num>
  <w:num w:numId="19">
    <w:abstractNumId w:val="16"/>
  </w:num>
  <w:num w:numId="20">
    <w:abstractNumId w:val="55"/>
  </w:num>
  <w:num w:numId="21">
    <w:abstractNumId w:val="53"/>
  </w:num>
  <w:num w:numId="22">
    <w:abstractNumId w:val="13"/>
  </w:num>
  <w:num w:numId="23">
    <w:abstractNumId w:val="35"/>
  </w:num>
  <w:num w:numId="24">
    <w:abstractNumId w:val="33"/>
  </w:num>
  <w:num w:numId="25">
    <w:abstractNumId w:val="30"/>
  </w:num>
  <w:num w:numId="26">
    <w:abstractNumId w:val="9"/>
  </w:num>
  <w:num w:numId="27">
    <w:abstractNumId w:val="46"/>
  </w:num>
  <w:num w:numId="28">
    <w:abstractNumId w:val="28"/>
  </w:num>
  <w:num w:numId="29">
    <w:abstractNumId w:val="38"/>
  </w:num>
  <w:num w:numId="30">
    <w:abstractNumId w:val="21"/>
  </w:num>
  <w:num w:numId="31">
    <w:abstractNumId w:val="27"/>
  </w:num>
  <w:num w:numId="32">
    <w:abstractNumId w:val="42"/>
  </w:num>
  <w:num w:numId="33">
    <w:abstractNumId w:val="31"/>
  </w:num>
  <w:num w:numId="34">
    <w:abstractNumId w:val="23"/>
  </w:num>
  <w:num w:numId="35">
    <w:abstractNumId w:val="18"/>
  </w:num>
  <w:num w:numId="36">
    <w:abstractNumId w:val="19"/>
  </w:num>
  <w:num w:numId="37">
    <w:abstractNumId w:val="25"/>
  </w:num>
  <w:num w:numId="38">
    <w:abstractNumId w:val="36"/>
  </w:num>
  <w:num w:numId="39">
    <w:abstractNumId w:val="45"/>
  </w:num>
  <w:num w:numId="40">
    <w:abstractNumId w:val="29"/>
  </w:num>
  <w:num w:numId="41">
    <w:abstractNumId w:val="44"/>
  </w:num>
  <w:num w:numId="42">
    <w:abstractNumId w:val="3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2"/>
  </w:num>
  <w:num w:numId="46">
    <w:abstractNumId w:val="15"/>
  </w:num>
  <w:num w:numId="47">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hideGrammatical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10B97"/>
    <w:rsid w:val="00010D0B"/>
    <w:rsid w:val="00012150"/>
    <w:rsid w:val="00013452"/>
    <w:rsid w:val="00017B15"/>
    <w:rsid w:val="00024137"/>
    <w:rsid w:val="00025BD7"/>
    <w:rsid w:val="00032A69"/>
    <w:rsid w:val="00034283"/>
    <w:rsid w:val="00034CD6"/>
    <w:rsid w:val="00047896"/>
    <w:rsid w:val="00051A50"/>
    <w:rsid w:val="00052CDA"/>
    <w:rsid w:val="0007040A"/>
    <w:rsid w:val="00081575"/>
    <w:rsid w:val="00085414"/>
    <w:rsid w:val="00085DAE"/>
    <w:rsid w:val="000A0961"/>
    <w:rsid w:val="000A2F02"/>
    <w:rsid w:val="000B1116"/>
    <w:rsid w:val="000C746B"/>
    <w:rsid w:val="000E0E0C"/>
    <w:rsid w:val="000E1143"/>
    <w:rsid w:val="000E649D"/>
    <w:rsid w:val="00114A21"/>
    <w:rsid w:val="00122E24"/>
    <w:rsid w:val="001250ED"/>
    <w:rsid w:val="00144178"/>
    <w:rsid w:val="00151C31"/>
    <w:rsid w:val="001573C4"/>
    <w:rsid w:val="001653EB"/>
    <w:rsid w:val="00174590"/>
    <w:rsid w:val="00185125"/>
    <w:rsid w:val="00187D5E"/>
    <w:rsid w:val="00197DB8"/>
    <w:rsid w:val="001A3DB4"/>
    <w:rsid w:val="001A50C4"/>
    <w:rsid w:val="001B1483"/>
    <w:rsid w:val="001B1AEB"/>
    <w:rsid w:val="001B3290"/>
    <w:rsid w:val="001B512B"/>
    <w:rsid w:val="001C3683"/>
    <w:rsid w:val="001C3DC4"/>
    <w:rsid w:val="001D26A2"/>
    <w:rsid w:val="001E4FA8"/>
    <w:rsid w:val="001E7CC6"/>
    <w:rsid w:val="001F2147"/>
    <w:rsid w:val="00213702"/>
    <w:rsid w:val="002338AF"/>
    <w:rsid w:val="00236D68"/>
    <w:rsid w:val="002472BE"/>
    <w:rsid w:val="00250DFE"/>
    <w:rsid w:val="002531C2"/>
    <w:rsid w:val="00265F68"/>
    <w:rsid w:val="0026602A"/>
    <w:rsid w:val="002727E6"/>
    <w:rsid w:val="0027596A"/>
    <w:rsid w:val="00280689"/>
    <w:rsid w:val="00282F39"/>
    <w:rsid w:val="00285AC6"/>
    <w:rsid w:val="00292DF9"/>
    <w:rsid w:val="00294CE6"/>
    <w:rsid w:val="002A1D37"/>
    <w:rsid w:val="002B69DD"/>
    <w:rsid w:val="002C565E"/>
    <w:rsid w:val="002D7A75"/>
    <w:rsid w:val="002E166B"/>
    <w:rsid w:val="002F1557"/>
    <w:rsid w:val="002F373D"/>
    <w:rsid w:val="00306D27"/>
    <w:rsid w:val="003072A2"/>
    <w:rsid w:val="003218EE"/>
    <w:rsid w:val="003510F9"/>
    <w:rsid w:val="00351DE8"/>
    <w:rsid w:val="00355748"/>
    <w:rsid w:val="00356E37"/>
    <w:rsid w:val="00361A19"/>
    <w:rsid w:val="00362229"/>
    <w:rsid w:val="003735DB"/>
    <w:rsid w:val="00377F36"/>
    <w:rsid w:val="00381826"/>
    <w:rsid w:val="003859B0"/>
    <w:rsid w:val="00395759"/>
    <w:rsid w:val="00396AEB"/>
    <w:rsid w:val="00396EB8"/>
    <w:rsid w:val="003A01EA"/>
    <w:rsid w:val="003A7295"/>
    <w:rsid w:val="003B0A27"/>
    <w:rsid w:val="003B4A5E"/>
    <w:rsid w:val="003B6EAA"/>
    <w:rsid w:val="003B78A0"/>
    <w:rsid w:val="003C054F"/>
    <w:rsid w:val="003C0640"/>
    <w:rsid w:val="003C5C52"/>
    <w:rsid w:val="003D4777"/>
    <w:rsid w:val="003E662E"/>
    <w:rsid w:val="003F7ED5"/>
    <w:rsid w:val="00400B01"/>
    <w:rsid w:val="00404871"/>
    <w:rsid w:val="00417424"/>
    <w:rsid w:val="00424BAE"/>
    <w:rsid w:val="00435803"/>
    <w:rsid w:val="00440E7B"/>
    <w:rsid w:val="004422FF"/>
    <w:rsid w:val="00446B1E"/>
    <w:rsid w:val="004501C7"/>
    <w:rsid w:val="00453AEE"/>
    <w:rsid w:val="004555D3"/>
    <w:rsid w:val="0046449A"/>
    <w:rsid w:val="0046591E"/>
    <w:rsid w:val="0047115E"/>
    <w:rsid w:val="00494EC3"/>
    <w:rsid w:val="00497897"/>
    <w:rsid w:val="004A0760"/>
    <w:rsid w:val="004A13C6"/>
    <w:rsid w:val="004B48E8"/>
    <w:rsid w:val="004B55A8"/>
    <w:rsid w:val="004C123A"/>
    <w:rsid w:val="004D6D31"/>
    <w:rsid w:val="004E1D22"/>
    <w:rsid w:val="004E27C6"/>
    <w:rsid w:val="004E5622"/>
    <w:rsid w:val="004F6623"/>
    <w:rsid w:val="0050279C"/>
    <w:rsid w:val="00502CC8"/>
    <w:rsid w:val="00522D50"/>
    <w:rsid w:val="00525771"/>
    <w:rsid w:val="0054618D"/>
    <w:rsid w:val="00550B7C"/>
    <w:rsid w:val="005553AC"/>
    <w:rsid w:val="005556A5"/>
    <w:rsid w:val="00560AA5"/>
    <w:rsid w:val="00561740"/>
    <w:rsid w:val="00561E6E"/>
    <w:rsid w:val="0056730C"/>
    <w:rsid w:val="00580654"/>
    <w:rsid w:val="0059130B"/>
    <w:rsid w:val="00591609"/>
    <w:rsid w:val="005A1E1A"/>
    <w:rsid w:val="005A26CB"/>
    <w:rsid w:val="005A79AA"/>
    <w:rsid w:val="005B6BAB"/>
    <w:rsid w:val="005C0F91"/>
    <w:rsid w:val="005C5F95"/>
    <w:rsid w:val="005C60C6"/>
    <w:rsid w:val="005C6A40"/>
    <w:rsid w:val="005D27E3"/>
    <w:rsid w:val="005D49EB"/>
    <w:rsid w:val="005D73CC"/>
    <w:rsid w:val="005E6C90"/>
    <w:rsid w:val="005F13E7"/>
    <w:rsid w:val="00610074"/>
    <w:rsid w:val="006119B3"/>
    <w:rsid w:val="00620D7C"/>
    <w:rsid w:val="00626D12"/>
    <w:rsid w:val="006274A4"/>
    <w:rsid w:val="006321D8"/>
    <w:rsid w:val="00637327"/>
    <w:rsid w:val="006468DA"/>
    <w:rsid w:val="006500B4"/>
    <w:rsid w:val="00650923"/>
    <w:rsid w:val="006529FD"/>
    <w:rsid w:val="00665EEB"/>
    <w:rsid w:val="0067199F"/>
    <w:rsid w:val="00672366"/>
    <w:rsid w:val="006838DF"/>
    <w:rsid w:val="0068445A"/>
    <w:rsid w:val="00684AC0"/>
    <w:rsid w:val="00693268"/>
    <w:rsid w:val="006A3B22"/>
    <w:rsid w:val="006A6AC8"/>
    <w:rsid w:val="006B1B21"/>
    <w:rsid w:val="006B3EF3"/>
    <w:rsid w:val="006B59CF"/>
    <w:rsid w:val="006B6E04"/>
    <w:rsid w:val="006C0DE9"/>
    <w:rsid w:val="006C238E"/>
    <w:rsid w:val="006C304E"/>
    <w:rsid w:val="006E3D67"/>
    <w:rsid w:val="006E6CF4"/>
    <w:rsid w:val="006F21D8"/>
    <w:rsid w:val="006F4276"/>
    <w:rsid w:val="0071148E"/>
    <w:rsid w:val="00713270"/>
    <w:rsid w:val="00732941"/>
    <w:rsid w:val="00733B5A"/>
    <w:rsid w:val="00736B97"/>
    <w:rsid w:val="007409FA"/>
    <w:rsid w:val="00740E70"/>
    <w:rsid w:val="00743734"/>
    <w:rsid w:val="00744065"/>
    <w:rsid w:val="0075305C"/>
    <w:rsid w:val="00760C6C"/>
    <w:rsid w:val="00765317"/>
    <w:rsid w:val="007726E4"/>
    <w:rsid w:val="007744D3"/>
    <w:rsid w:val="007831A7"/>
    <w:rsid w:val="007849B0"/>
    <w:rsid w:val="00790950"/>
    <w:rsid w:val="00793226"/>
    <w:rsid w:val="007A1295"/>
    <w:rsid w:val="007A61F0"/>
    <w:rsid w:val="007C0270"/>
    <w:rsid w:val="007C32F4"/>
    <w:rsid w:val="007C4213"/>
    <w:rsid w:val="007D7EB3"/>
    <w:rsid w:val="00801151"/>
    <w:rsid w:val="00806A5E"/>
    <w:rsid w:val="00810540"/>
    <w:rsid w:val="0081495C"/>
    <w:rsid w:val="00816CEB"/>
    <w:rsid w:val="00821032"/>
    <w:rsid w:val="00826D7A"/>
    <w:rsid w:val="008378D7"/>
    <w:rsid w:val="00841870"/>
    <w:rsid w:val="008434EE"/>
    <w:rsid w:val="00851D2F"/>
    <w:rsid w:val="0086290E"/>
    <w:rsid w:val="0086349F"/>
    <w:rsid w:val="008717B4"/>
    <w:rsid w:val="008754FE"/>
    <w:rsid w:val="008933AA"/>
    <w:rsid w:val="008A187C"/>
    <w:rsid w:val="008A4AF9"/>
    <w:rsid w:val="008A578A"/>
    <w:rsid w:val="008A60AA"/>
    <w:rsid w:val="008B29DE"/>
    <w:rsid w:val="008C16B7"/>
    <w:rsid w:val="008C7549"/>
    <w:rsid w:val="008D00CA"/>
    <w:rsid w:val="008D454A"/>
    <w:rsid w:val="008E4CAF"/>
    <w:rsid w:val="008E536D"/>
    <w:rsid w:val="008F134D"/>
    <w:rsid w:val="008F1D70"/>
    <w:rsid w:val="008F3460"/>
    <w:rsid w:val="008F436C"/>
    <w:rsid w:val="0091624F"/>
    <w:rsid w:val="009257FA"/>
    <w:rsid w:val="00930620"/>
    <w:rsid w:val="009318E6"/>
    <w:rsid w:val="00935684"/>
    <w:rsid w:val="0094089A"/>
    <w:rsid w:val="00940960"/>
    <w:rsid w:val="00941D9C"/>
    <w:rsid w:val="00945121"/>
    <w:rsid w:val="00947C85"/>
    <w:rsid w:val="00955C5B"/>
    <w:rsid w:val="00965EB0"/>
    <w:rsid w:val="0096772D"/>
    <w:rsid w:val="0097029A"/>
    <w:rsid w:val="00976DF4"/>
    <w:rsid w:val="009820A8"/>
    <w:rsid w:val="0099023F"/>
    <w:rsid w:val="009915D2"/>
    <w:rsid w:val="00991D09"/>
    <w:rsid w:val="009A2501"/>
    <w:rsid w:val="009A7455"/>
    <w:rsid w:val="009B21D5"/>
    <w:rsid w:val="009C04C6"/>
    <w:rsid w:val="009C2C32"/>
    <w:rsid w:val="009D1199"/>
    <w:rsid w:val="009D408F"/>
    <w:rsid w:val="009F1322"/>
    <w:rsid w:val="00A02162"/>
    <w:rsid w:val="00A12F7F"/>
    <w:rsid w:val="00A17473"/>
    <w:rsid w:val="00A20FC1"/>
    <w:rsid w:val="00A212BD"/>
    <w:rsid w:val="00A27CA0"/>
    <w:rsid w:val="00A329CE"/>
    <w:rsid w:val="00A3353F"/>
    <w:rsid w:val="00A33BEF"/>
    <w:rsid w:val="00A348BD"/>
    <w:rsid w:val="00A34CF6"/>
    <w:rsid w:val="00A35B9D"/>
    <w:rsid w:val="00A35D9C"/>
    <w:rsid w:val="00A41042"/>
    <w:rsid w:val="00A429F2"/>
    <w:rsid w:val="00A51230"/>
    <w:rsid w:val="00A52886"/>
    <w:rsid w:val="00A52CC2"/>
    <w:rsid w:val="00A55B99"/>
    <w:rsid w:val="00A87312"/>
    <w:rsid w:val="00A93D7F"/>
    <w:rsid w:val="00AA7342"/>
    <w:rsid w:val="00AB2BC4"/>
    <w:rsid w:val="00AC2D84"/>
    <w:rsid w:val="00AE03F5"/>
    <w:rsid w:val="00AF5E9E"/>
    <w:rsid w:val="00B00554"/>
    <w:rsid w:val="00B071D2"/>
    <w:rsid w:val="00B0732F"/>
    <w:rsid w:val="00B07DDF"/>
    <w:rsid w:val="00B20721"/>
    <w:rsid w:val="00B32828"/>
    <w:rsid w:val="00B37046"/>
    <w:rsid w:val="00B41ED1"/>
    <w:rsid w:val="00B44410"/>
    <w:rsid w:val="00B46A66"/>
    <w:rsid w:val="00B47032"/>
    <w:rsid w:val="00B57BAA"/>
    <w:rsid w:val="00B64CEB"/>
    <w:rsid w:val="00B65826"/>
    <w:rsid w:val="00B66C9E"/>
    <w:rsid w:val="00B71362"/>
    <w:rsid w:val="00B71F56"/>
    <w:rsid w:val="00B801FE"/>
    <w:rsid w:val="00B80BD5"/>
    <w:rsid w:val="00B84764"/>
    <w:rsid w:val="00B86ED6"/>
    <w:rsid w:val="00B96D7E"/>
    <w:rsid w:val="00BA114A"/>
    <w:rsid w:val="00BA3044"/>
    <w:rsid w:val="00BA3074"/>
    <w:rsid w:val="00BA35D6"/>
    <w:rsid w:val="00BD7DE5"/>
    <w:rsid w:val="00BF5371"/>
    <w:rsid w:val="00C033D9"/>
    <w:rsid w:val="00C12E00"/>
    <w:rsid w:val="00C12FCA"/>
    <w:rsid w:val="00C218D2"/>
    <w:rsid w:val="00C21E5B"/>
    <w:rsid w:val="00C30811"/>
    <w:rsid w:val="00C54BA2"/>
    <w:rsid w:val="00C568BE"/>
    <w:rsid w:val="00C56C59"/>
    <w:rsid w:val="00C604E6"/>
    <w:rsid w:val="00C6081E"/>
    <w:rsid w:val="00C624F4"/>
    <w:rsid w:val="00C64848"/>
    <w:rsid w:val="00C75455"/>
    <w:rsid w:val="00C76143"/>
    <w:rsid w:val="00C85D17"/>
    <w:rsid w:val="00C9468E"/>
    <w:rsid w:val="00C97151"/>
    <w:rsid w:val="00CA096D"/>
    <w:rsid w:val="00CA668D"/>
    <w:rsid w:val="00CB60D4"/>
    <w:rsid w:val="00CB72FE"/>
    <w:rsid w:val="00CD0DE1"/>
    <w:rsid w:val="00CE79DC"/>
    <w:rsid w:val="00CF624D"/>
    <w:rsid w:val="00D002C5"/>
    <w:rsid w:val="00D14362"/>
    <w:rsid w:val="00D1478E"/>
    <w:rsid w:val="00D33BEC"/>
    <w:rsid w:val="00D409E6"/>
    <w:rsid w:val="00D578AC"/>
    <w:rsid w:val="00D61187"/>
    <w:rsid w:val="00D66559"/>
    <w:rsid w:val="00D76D25"/>
    <w:rsid w:val="00D82C2F"/>
    <w:rsid w:val="00D83BEE"/>
    <w:rsid w:val="00D8728F"/>
    <w:rsid w:val="00DA23AC"/>
    <w:rsid w:val="00DB3E31"/>
    <w:rsid w:val="00DB4117"/>
    <w:rsid w:val="00DC05E3"/>
    <w:rsid w:val="00DD2DAA"/>
    <w:rsid w:val="00DD2DE6"/>
    <w:rsid w:val="00DE48B4"/>
    <w:rsid w:val="00DF7EC3"/>
    <w:rsid w:val="00E02F7B"/>
    <w:rsid w:val="00E048D0"/>
    <w:rsid w:val="00E04AAF"/>
    <w:rsid w:val="00E079E6"/>
    <w:rsid w:val="00E1754D"/>
    <w:rsid w:val="00E36247"/>
    <w:rsid w:val="00E405BD"/>
    <w:rsid w:val="00E44915"/>
    <w:rsid w:val="00E45285"/>
    <w:rsid w:val="00E62E84"/>
    <w:rsid w:val="00E66646"/>
    <w:rsid w:val="00E670E6"/>
    <w:rsid w:val="00E720EA"/>
    <w:rsid w:val="00E72382"/>
    <w:rsid w:val="00E724E5"/>
    <w:rsid w:val="00E7343A"/>
    <w:rsid w:val="00E91148"/>
    <w:rsid w:val="00E928A2"/>
    <w:rsid w:val="00E92DE5"/>
    <w:rsid w:val="00E97F37"/>
    <w:rsid w:val="00EA179C"/>
    <w:rsid w:val="00EA1A08"/>
    <w:rsid w:val="00EA4CF3"/>
    <w:rsid w:val="00EB3099"/>
    <w:rsid w:val="00EB7021"/>
    <w:rsid w:val="00EC3B5B"/>
    <w:rsid w:val="00EC4EAA"/>
    <w:rsid w:val="00ED0B18"/>
    <w:rsid w:val="00ED1119"/>
    <w:rsid w:val="00ED2F78"/>
    <w:rsid w:val="00ED3A6E"/>
    <w:rsid w:val="00EE2EEA"/>
    <w:rsid w:val="00EE3008"/>
    <w:rsid w:val="00EE457D"/>
    <w:rsid w:val="00EE4BE3"/>
    <w:rsid w:val="00EF1676"/>
    <w:rsid w:val="00F11BCE"/>
    <w:rsid w:val="00F15390"/>
    <w:rsid w:val="00F1666C"/>
    <w:rsid w:val="00F26E21"/>
    <w:rsid w:val="00F327E2"/>
    <w:rsid w:val="00F42305"/>
    <w:rsid w:val="00F43485"/>
    <w:rsid w:val="00F53C0B"/>
    <w:rsid w:val="00F60293"/>
    <w:rsid w:val="00F864C5"/>
    <w:rsid w:val="00F921DE"/>
    <w:rsid w:val="00F92EDC"/>
    <w:rsid w:val="00F9746A"/>
    <w:rsid w:val="00FA0894"/>
    <w:rsid w:val="00FA510B"/>
    <w:rsid w:val="00FA58C9"/>
    <w:rsid w:val="00FA673D"/>
    <w:rsid w:val="00FA7CAA"/>
    <w:rsid w:val="00FA7F1B"/>
    <w:rsid w:val="00FB12CB"/>
    <w:rsid w:val="00FC1256"/>
    <w:rsid w:val="00FC624E"/>
    <w:rsid w:val="00FC6277"/>
    <w:rsid w:val="00FD0996"/>
    <w:rsid w:val="00FD21AE"/>
    <w:rsid w:val="00FD37C9"/>
    <w:rsid w:val="00FD638B"/>
    <w:rsid w:val="00FD69E8"/>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6526FD-276A-428B-8CD2-D15BFD7F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uiPriority w:val="34"/>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qFormat/>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表格清單 字元,表內文 字元,本文註腳 字元,(1)標題 (期中) 字元,表名 字元,(1)括號數字標 字元,標題(一) 字元,卑南壹 字元"/>
    <w:link w:val="15"/>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table" w:customStyle="1" w:styleId="310">
    <w:name w:val="表格 清單 31"/>
    <w:basedOn w:val="a5"/>
    <w:next w:val="39"/>
    <w:semiHidden/>
    <w:rsid w:val="005913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20">
    <w:name w:val="表格 清單 32"/>
    <w:basedOn w:val="a5"/>
    <w:next w:val="39"/>
    <w:semiHidden/>
    <w:rsid w:val="00FA673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30">
    <w:name w:val="表格 清單 33"/>
    <w:basedOn w:val="a5"/>
    <w:next w:val="39"/>
    <w:semiHidden/>
    <w:rsid w:val="00FA673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710">
    <w:name w:val="表格 格線 71"/>
    <w:basedOn w:val="a5"/>
    <w:next w:val="72"/>
    <w:semiHidden/>
    <w:rsid w:val="00FA673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e">
    <w:name w:val="表文"/>
    <w:basedOn w:val="a3"/>
    <w:rsid w:val="009820A8"/>
    <w:pPr>
      <w:adjustRightInd w:val="0"/>
      <w:snapToGrid w:val="0"/>
      <w:spacing w:line="240" w:lineRule="exact"/>
      <w:jc w:val="center"/>
    </w:pPr>
    <w:rPr>
      <w:rFonts w:ascii="標楷體" w:eastAsia="標楷體" w:hAnsi="Times New Roman" w:cs="Times New Roman"/>
      <w:szCs w:val="24"/>
    </w:rPr>
  </w:style>
  <w:style w:type="paragraph" w:styleId="afffffffff">
    <w:name w:val="List Paragraph"/>
    <w:basedOn w:val="a3"/>
    <w:uiPriority w:val="34"/>
    <w:qFormat/>
    <w:rsid w:val="009820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DB8F-66A7-4E1F-BE8A-02AD6F9B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1668</Words>
  <Characters>9512</Characters>
  <Application>Microsoft Office Word</Application>
  <DocSecurity>0</DocSecurity>
  <Lines>79</Lines>
  <Paragraphs>22</Paragraphs>
  <ScaleCrop>false</ScaleCrop>
  <Company>Hewlett-Packard Company</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syf</cp:lastModifiedBy>
  <cp:revision>4</cp:revision>
  <cp:lastPrinted>2021-02-18T03:34:00Z</cp:lastPrinted>
  <dcterms:created xsi:type="dcterms:W3CDTF">2021-02-26T01:44:00Z</dcterms:created>
  <dcterms:modified xsi:type="dcterms:W3CDTF">2021-03-04T07:19:00Z</dcterms:modified>
</cp:coreProperties>
</file>