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35" w:rsidRPr="00B17E45" w:rsidRDefault="00A16B35" w:rsidP="00A16B35">
      <w:pPr>
        <w:pStyle w:val="affffffff5"/>
        <w:spacing w:line="1000" w:lineRule="exact"/>
        <w:rPr>
          <w:rFonts w:hint="eastAsia"/>
          <w:color w:val="000000"/>
        </w:rPr>
      </w:pPr>
      <w:bookmarkStart w:id="0" w:name="_GoBack"/>
      <w:bookmarkEnd w:id="0"/>
    </w:p>
    <w:p w:rsidR="00A16B35" w:rsidRPr="00B17E45" w:rsidRDefault="00A16B35" w:rsidP="00A16B35">
      <w:pPr>
        <w:pStyle w:val="affffffff5"/>
        <w:spacing w:line="1000" w:lineRule="exact"/>
        <w:rPr>
          <w:rFonts w:hint="eastAsia"/>
          <w:color w:val="000000"/>
        </w:rPr>
      </w:pPr>
    </w:p>
    <w:p w:rsidR="00A16B35" w:rsidRPr="00B17E45" w:rsidRDefault="00A16B35" w:rsidP="00A16B35">
      <w:pPr>
        <w:pStyle w:val="affffffff5"/>
        <w:spacing w:line="1000" w:lineRule="exact"/>
        <w:rPr>
          <w:rFonts w:hint="eastAsia"/>
          <w:color w:val="000000"/>
        </w:rPr>
      </w:pPr>
    </w:p>
    <w:p w:rsidR="00A16B35" w:rsidRPr="00B17E45" w:rsidRDefault="00A16B35" w:rsidP="00A16B35">
      <w:pPr>
        <w:pStyle w:val="affffffff5"/>
        <w:spacing w:line="1000" w:lineRule="exact"/>
        <w:rPr>
          <w:rFonts w:hint="eastAsia"/>
          <w:color w:val="000000"/>
        </w:rPr>
      </w:pPr>
    </w:p>
    <w:p w:rsidR="00A16B35" w:rsidRPr="00B17E45" w:rsidRDefault="00A16B35" w:rsidP="00A16B35">
      <w:pPr>
        <w:pStyle w:val="affffffff5"/>
        <w:spacing w:line="1000" w:lineRule="exact"/>
        <w:rPr>
          <w:rFonts w:hint="eastAsia"/>
          <w:color w:val="000000"/>
        </w:rPr>
      </w:pPr>
    </w:p>
    <w:p w:rsidR="00A16B35" w:rsidRPr="00B17E45" w:rsidRDefault="00A16B35" w:rsidP="00A16B35">
      <w:pPr>
        <w:pStyle w:val="affffffff5"/>
        <w:spacing w:line="1000" w:lineRule="exact"/>
        <w:rPr>
          <w:rFonts w:hint="eastAsia"/>
          <w:color w:val="000000"/>
        </w:rPr>
      </w:pPr>
    </w:p>
    <w:p w:rsidR="00A52886" w:rsidRDefault="00A52886" w:rsidP="007A61F0">
      <w:pPr>
        <w:spacing w:line="1000" w:lineRule="exact"/>
        <w:jc w:val="center"/>
        <w:rPr>
          <w:rFonts w:ascii="標楷體" w:eastAsia="標楷體" w:hAnsi="標楷體" w:hint="eastAsia"/>
          <w:b/>
          <w:color w:val="000000"/>
          <w:sz w:val="80"/>
          <w:szCs w:val="80"/>
        </w:rPr>
      </w:pPr>
      <w:r w:rsidRPr="00A35197">
        <w:rPr>
          <w:rFonts w:ascii="標楷體" w:eastAsia="標楷體" w:hAnsi="標楷體"/>
          <w:b/>
          <w:color w:val="000000"/>
          <w:sz w:val="80"/>
          <w:szCs w:val="80"/>
        </w:rPr>
        <w:t>貳拾、法  制</w:t>
      </w:r>
    </w:p>
    <w:p w:rsidR="00A16B35" w:rsidRDefault="006F584C" w:rsidP="007A61F0">
      <w:pPr>
        <w:spacing w:line="1000" w:lineRule="exact"/>
        <w:jc w:val="center"/>
        <w:rPr>
          <w:rFonts w:ascii="標楷體" w:eastAsia="標楷體" w:hAnsi="標楷體" w:hint="eastAsia"/>
          <w:b/>
          <w:color w:val="000000"/>
          <w:sz w:val="80"/>
          <w:szCs w:val="80"/>
        </w:rPr>
      </w:pPr>
      <w:r>
        <w:rPr>
          <w:rFonts w:ascii="標楷體" w:eastAsia="標楷體" w:hAnsi="標楷體"/>
          <w:b/>
          <w:noProof/>
          <w:color w:val="000000"/>
          <w:sz w:val="80"/>
          <w:szCs w:val="8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5041900</wp:posOffset>
                </wp:positionV>
                <wp:extent cx="609600" cy="342900"/>
                <wp:effectExtent l="0" t="3175"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34pt;margin-top:397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lLeQIAAPs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1TjH&#10;SJEOSvQBkkbURnJ0nYf89MZV4PZkHm2I0JmVpp8dUnreghu/t1b3LScMWGXBP3l2IBgOjqJ1/1Yz&#10;gCdbr2Oq9o3tAiAkAe1jRQ7nivC9RxQWJ2k5SaFuFLaui7yEebiBVKfDxjr/musOhUmNLXCP4GS3&#10;cn5wPblE8loKthRSRsNu1nNp0Y6AOJbxO6K7SzepgrPS4diAOKwAR7gj7AW2sdjfyiwv0oe8HC0n&#10;05tRsSzGo/ImnY7SrHyASIqyWCy/B4JZUbWCMa5WQvGT8LLi7wp7bIFBMlF6qK9xOc7HMfZn7N1l&#10;kGn8/hRkJzz0oRRdjadnJ1KFur5SDMImlSdCDvPkOf1YEMjB6R+zElUQCj8IaK3ZAURgNRQJ6gkv&#10;Bkxabb9i1EP31dh92RLLMZJvFAipzIoitGs0ivFNDoa93Flf7hBFAarGHqNhOvdDi2+NFZsWbspi&#10;YpS+B/E1IgojCHNgdZQsdFiM4PgahBa+tKPXzzdr9gMAAP//AwBQSwMEFAAGAAgAAAAhAG+bu9je&#10;AAAACwEAAA8AAABkcnMvZG93bnJldi54bWxMj8FOwzAQRO9I/IO1SNyoDaQmDXEqhNQTcKBF4rqN&#10;3SQiXofYacPfsz3BbVYzmn1Trmffi6MbYxfIwO1CgXBUB9tRY+Bjt7nJQcSEZLEP5Az8uAjr6vKi&#10;xMKGE7274zY1gksoFmigTWkopIx16zzGRRgcsXcIo8fE59hIO+KJy30v75TS0mNH/KHFwT23rv7a&#10;Tt4A6sx+vx3uX3cvk8ZVM6vN8lMZc301Pz2CSG5Of2E44zM6VMy0DxPZKHoDmc55SzLwsMpYcGKp&#10;z2JvIM/YklUp/2+ofgEAAP//AwBQSwECLQAUAAYACAAAACEAtoM4kv4AAADhAQAAEwAAAAAAAAAA&#10;AAAAAAAAAAAAW0NvbnRlbnRfVHlwZXNdLnhtbFBLAQItABQABgAIAAAAIQA4/SH/1gAAAJQBAAAL&#10;AAAAAAAAAAAAAAAAAC8BAABfcmVscy8ucmVsc1BLAQItABQABgAIAAAAIQCyGolLeQIAAPsEAAAO&#10;AAAAAAAAAAAAAAAAAC4CAABkcnMvZTJvRG9jLnhtbFBLAQItABQABgAIAAAAIQBvm7vY3gAAAAsB&#10;AAAPAAAAAAAAAAAAAAAAANMEAABkcnMvZG93bnJldi54bWxQSwUGAAAAAAQABADzAAAA3gUAAAAA&#10;" stroked="f"/>
            </w:pict>
          </mc:Fallback>
        </mc:AlternateContent>
      </w:r>
      <w:r w:rsidR="00A16B35">
        <w:rPr>
          <w:rFonts w:ascii="標楷體" w:eastAsia="標楷體" w:hAnsi="標楷體"/>
          <w:b/>
          <w:color w:val="000000"/>
          <w:sz w:val="80"/>
          <w:szCs w:val="80"/>
        </w:rPr>
        <w:br w:type="page"/>
      </w:r>
    </w:p>
    <w:p w:rsidR="00A52886" w:rsidRPr="00A16B35" w:rsidRDefault="006F584C" w:rsidP="00A16B35">
      <w:pPr>
        <w:pStyle w:val="affffffff7"/>
        <w:spacing w:before="0" w:after="0" w:line="440" w:lineRule="exact"/>
        <w:jc w:val="both"/>
        <w:rPr>
          <w:rFonts w:ascii="標楷體" w:eastAsia="標楷體" w:hAnsi="標楷體"/>
          <w:color w:val="000000"/>
        </w:rPr>
      </w:pPr>
      <w:r>
        <w:rPr>
          <w:noProof/>
          <w:sz w:val="80"/>
          <w:szCs w:val="80"/>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8966200</wp:posOffset>
                </wp:positionV>
                <wp:extent cx="609600" cy="342900"/>
                <wp:effectExtent l="0" t="3175"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40pt;margin-top:70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eueQIAAPs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Qe0w&#10;UqSDEn2ApBG1kRyNxyE/vXEVuD2ZRxsidOZB088OKb1swY3fWqv7lhMGrLLgnzw7EAwHR9G6f6sZ&#10;wJOt1zFV+8Z2ARCSgPaxIodzRfjeIwqL07ScplA3ClvjIi9hHm4g1emwsc6/5rpDYVJjC9wjONk9&#10;OD+4nlwieS0FWwkpo2E366W0aEdAHKv4HdHdpZtUwVnpcGxAHFaAI9wR9gLbWOxvZZYX6V1ejlbT&#10;+WxUrIrJqJyl81GalXcQSVEW96vvgWBWVK1gjKsHofhJeFnxd4U9tsAgmSg91Ne4nOSTGPsz9u4y&#10;yDR+fwqyEx76UIquxvOzE6lCXV8pBmGTyhMhh3nynH4sCOTg9I9ZiSoIhR8EtNbsACKwGooE9YQX&#10;Ayattl8x6qH7auy+bInlGMk3CoRUZkUR2jUaxWSWg2Evd9aXO0RRgKqxx2iYLv3Q4ltjxaaFm7KY&#10;GKVvQXyNiMIIwhxYHSULHRYjOL4GoYUv7ej1881a/AAAAP//AwBQSwMEFAAGAAgAAAAhAB5aWLne&#10;AAAADQEAAA8AAABkcnMvZG93bnJldi54bWxMT0FOwzAQvCPxB2uRuFG7JTUlxKkQUk/AgRaJ6zZ2&#10;k4h4HWKnDb9ne6K3mZ3R7Eyxnnwnjm6IbSAD85kC4agKtqXawOduc7cCEROSxS6QM/DrIqzL66sC&#10;cxtO9OGO21QLDqGYo4EmpT6XMlaN8xhnoXfE2iEMHhPToZZ2wBOH+04ulNLSY0v8ocHevTSu+t6O&#10;3gDqzP68H+7fdq+jxsd6UpvllzLm9mZ6fgKR3JT+zXCuz9Wh5E77MJKNojOQrRRvSSxk8wUjtiwf&#10;NIP9+aQZybKQlyvKPwAAAP//AwBQSwECLQAUAAYACAAAACEAtoM4kv4AAADhAQAAEwAAAAAAAAAA&#10;AAAAAAAAAAAAW0NvbnRlbnRfVHlwZXNdLnhtbFBLAQItABQABgAIAAAAIQA4/SH/1gAAAJQBAAAL&#10;AAAAAAAAAAAAAAAAAC8BAABfcmVscy8ucmVsc1BLAQItABQABgAIAAAAIQCjtqeueQIAAPsEAAAO&#10;AAAAAAAAAAAAAAAAAC4CAABkcnMvZTJvRG9jLnhtbFBLAQItABQABgAIAAAAIQAeWli53gAAAA0B&#10;AAAPAAAAAAAAAAAAAAAAANMEAABkcnMvZG93bnJldi54bWxQSwUGAAAAAAQABADzAAAA3gUAAAAA&#10;" stroked="f"/>
            </w:pict>
          </mc:Fallback>
        </mc:AlternateContent>
      </w:r>
      <w:r w:rsidR="00A16B35">
        <w:rPr>
          <w:sz w:val="80"/>
          <w:szCs w:val="80"/>
        </w:rPr>
        <w:br w:type="page"/>
      </w:r>
      <w:r w:rsidR="00A52886" w:rsidRPr="00A16B35">
        <w:rPr>
          <w:rFonts w:ascii="標楷體" w:eastAsia="標楷體" w:hAnsi="標楷體"/>
          <w:color w:val="000000"/>
        </w:rPr>
        <w:lastRenderedPageBreak/>
        <w:t>一、法制業務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求償救助</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為協助本市氣爆事件受災者及其家屬求償並使其儘速回復日常生活，本府法制局承命辦理賠償請求權讓與之相關法律程序，爰依社會救助法及民法等規定訂定氣爆災害受災者求償救助計畫，由受災者將其對肇事者之損害賠償請求權讓與市府，再由市府逕向肇事者請求損害賠償，以加速回復其正常生活、營業及權利，並避免訟累。</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2.103年9月11日成立專責辦理賠償請求權讓與事宜之專案辦公室，階段性任務業已圓滿達成，於104年5月20日撤離，所有讓與案件均經審查會審議後，再由本府法制局賡續辦理簽約及撥款等事宜。</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w:t>
      </w:r>
      <w:r w:rsidR="000E38E9" w:rsidRPr="000E38E9">
        <w:rPr>
          <w:rFonts w:hint="eastAsia"/>
          <w:color w:val="000000"/>
        </w:rPr>
        <w:t>截至108年6月30日止共受理賠償請求權讓與計3,992件，經求償救助金審查會全數審議完畢，已簽約讓與請求權計3,149件，已撥付金額計新臺幣8億2,652萬8,765元。（含支應64位重傷者和解金）</w:t>
      </w:r>
      <w:r w:rsidRPr="00A35197">
        <w:rPr>
          <w:color w:val="000000"/>
        </w:rPr>
        <w:t>。</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4.業向高雄法院提出6案民事訴訟案件(按原簽約數為3,149件，因有9件涉及權利移轉或請求權主體合一等因素以併案起訴處理，故起訴件數合計3,140件)，請求金額新臺幣10億4,343萬8,043元。嗣經高雄地方法院在107年6月22日作成第一審判決，惟市府審酌原審判決未採最有利於災民之見解、責任比例認定有誤等違誤，於107年7月20日針對一審判決上訴二審，案件目前繫屬於二審法院審理中，市府將持續為災民爭取最大權益。</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訴願審議</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1.108年1月至6月計審議訴願案655件，包含駁回402件、撤銷79件、原處分機關自行撤銷84件、訴願人撤回17件、移轉管轄4件及不受理69件。</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2.108年1月至6月協助本府各機關檢視訴願答辯書及行政訴訟答辯狀之會簽</w:t>
      </w:r>
      <w:r w:rsidR="003C6689">
        <w:rPr>
          <w:color w:val="000000"/>
        </w:rPr>
        <w:t>(</w:t>
      </w:r>
      <w:r w:rsidRPr="00A35197">
        <w:rPr>
          <w:color w:val="000000"/>
        </w:rPr>
        <w:t>辦</w:t>
      </w:r>
      <w:r w:rsidR="003C6689">
        <w:rPr>
          <w:color w:val="000000"/>
        </w:rPr>
        <w:t>)</w:t>
      </w:r>
      <w:r w:rsidRPr="00A35197">
        <w:rPr>
          <w:color w:val="000000"/>
        </w:rPr>
        <w:t>案計60件，有效提昇各機關辦理行政救濟案件之能力。</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法規審查</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1.108年1月至6月計審查市法規草案27件，包含制</w:t>
      </w:r>
      <w:r w:rsidR="003C6689">
        <w:rPr>
          <w:color w:val="000000"/>
        </w:rPr>
        <w:t>(</w:t>
      </w:r>
      <w:r w:rsidRPr="00A35197">
        <w:rPr>
          <w:color w:val="000000"/>
        </w:rPr>
        <w:t>訂</w:t>
      </w:r>
      <w:r w:rsidR="003C6689">
        <w:rPr>
          <w:color w:val="000000"/>
        </w:rPr>
        <w:t>)</w:t>
      </w:r>
      <w:r w:rsidRPr="00A35197">
        <w:rPr>
          <w:color w:val="000000"/>
        </w:rPr>
        <w:t>定7件、修正16件、廢止4件。</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2.108年1月至6月協助本府各機關處理法令適用疑義或法律見解分歧之會簽</w:t>
      </w:r>
      <w:r w:rsidR="003C6689">
        <w:rPr>
          <w:color w:val="000000"/>
        </w:rPr>
        <w:t>(</w:t>
      </w:r>
      <w:r w:rsidRPr="00A35197">
        <w:rPr>
          <w:color w:val="000000"/>
        </w:rPr>
        <w:t>辦</w:t>
      </w:r>
      <w:r w:rsidR="003C6689">
        <w:rPr>
          <w:color w:val="000000"/>
        </w:rPr>
        <w:t>)</w:t>
      </w:r>
      <w:r w:rsidRPr="00A35197">
        <w:rPr>
          <w:color w:val="000000"/>
        </w:rPr>
        <w:t>案計538件，適時研提專業法律意見供參，統一法制觀念。</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國家賠償</w:t>
      </w:r>
    </w:p>
    <w:p w:rsidR="00A52886" w:rsidRPr="00A35197" w:rsidRDefault="00A52886" w:rsidP="00A16B35">
      <w:pPr>
        <w:pStyle w:val="affffffffb"/>
        <w:ind w:leftChars="350" w:left="1120" w:rightChars="0" w:right="0" w:hangingChars="100" w:hanging="280"/>
        <w:jc w:val="both"/>
        <w:rPr>
          <w:color w:val="000000"/>
        </w:rPr>
      </w:pPr>
      <w:r w:rsidRPr="00A35197">
        <w:rPr>
          <w:color w:val="000000"/>
        </w:rPr>
        <w:t>1.108年1月至6月計審議國家賠償案125件，其中賠償</w:t>
      </w:r>
      <w:r w:rsidR="003C6689">
        <w:rPr>
          <w:color w:val="000000"/>
        </w:rPr>
        <w:t>(</w:t>
      </w:r>
      <w:r w:rsidRPr="00A35197">
        <w:rPr>
          <w:color w:val="000000"/>
        </w:rPr>
        <w:t>含協議賠償及訴訟賠償</w:t>
      </w:r>
      <w:r w:rsidR="003C6689">
        <w:rPr>
          <w:color w:val="000000"/>
        </w:rPr>
        <w:t>)</w:t>
      </w:r>
      <w:r w:rsidRPr="00A35197">
        <w:rPr>
          <w:color w:val="000000"/>
        </w:rPr>
        <w:t>35件，賠償總金額新臺幣43,452,461元，除督促本府公務員落實依法行政原則外，並責成各賠償義務機關加強檢討改善所屬公有公共設施及其週邊軟硬體設備之設置及管理，期將損害降至最低，保障民眾權益。</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2.108年1月至6月協助本府各機關辦理國賠案件之會簽</w:t>
      </w:r>
      <w:r w:rsidR="003C6689">
        <w:rPr>
          <w:color w:val="000000"/>
        </w:rPr>
        <w:t>(</w:t>
      </w:r>
      <w:r w:rsidRPr="00A35197">
        <w:rPr>
          <w:color w:val="000000"/>
        </w:rPr>
        <w:t>辦</w:t>
      </w:r>
      <w:r w:rsidR="003C6689">
        <w:rPr>
          <w:color w:val="000000"/>
        </w:rPr>
        <w:t>)</w:t>
      </w:r>
      <w:r w:rsidRPr="00A35197">
        <w:rPr>
          <w:color w:val="000000"/>
        </w:rPr>
        <w:t>案計39件，積極促請各機關強化內控，並確實掌握處理時效。</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法制研習活動</w:t>
      </w:r>
    </w:p>
    <w:p w:rsidR="00A52886" w:rsidRPr="00A35197" w:rsidRDefault="00A52886" w:rsidP="00A16B35">
      <w:pPr>
        <w:pStyle w:val="affffffffb"/>
        <w:ind w:leftChars="350" w:left="840" w:rightChars="0" w:right="0"/>
        <w:jc w:val="both"/>
        <w:rPr>
          <w:color w:val="000000"/>
        </w:rPr>
      </w:pPr>
      <w:r w:rsidRPr="00A35197">
        <w:rPr>
          <w:color w:val="000000"/>
        </w:rPr>
        <w:t>108年1月至6月辦理各項法制研習活動12場，參加人數共861人。包含本局與人發中心合辦「國家賠償法-案例分析與作業程序研習班」及「訴願法之基本理論研習班」、「訴願法-案例分析與文書製作研習班」、「行政處分實務解</w:t>
      </w:r>
      <w:r w:rsidRPr="00A35197">
        <w:rPr>
          <w:color w:val="000000"/>
        </w:rPr>
        <w:lastRenderedPageBreak/>
        <w:t>析研習班」、「行政程序法-原理原則研習班」、「行政契約與行政訴訟」、「行政罰法研習班」、「政府資訊公開與個資保護之關係─理論與實務研習班」等法制在職專班及「CAAI國際仲裁規則」研討會。另結合首長夜宿活動，於原住民自治區舉辦「那瑪夏區法制業務座談」、「桃源區法制業務座談」、「茂林區法制業務座談」。</w:t>
      </w:r>
    </w:p>
    <w:p w:rsidR="00D8728F" w:rsidRPr="00A35197" w:rsidRDefault="00D8728F" w:rsidP="00E62E84">
      <w:pPr>
        <w:spacing w:line="360" w:lineRule="exact"/>
        <w:rPr>
          <w:rFonts w:ascii="標楷體" w:eastAsia="標楷體" w:hAnsi="標楷體" w:hint="eastAsia"/>
          <w:color w:val="000000"/>
          <w:sz w:val="28"/>
          <w:szCs w:val="28"/>
        </w:rPr>
      </w:pPr>
    </w:p>
    <w:p w:rsidR="00D8728F" w:rsidRPr="00A35197" w:rsidRDefault="00D8728F" w:rsidP="00E62E84">
      <w:pPr>
        <w:spacing w:line="360" w:lineRule="exact"/>
        <w:rPr>
          <w:rFonts w:ascii="標楷體" w:eastAsia="標楷體" w:hAnsi="標楷體" w:hint="eastAsia"/>
          <w:color w:val="000000"/>
          <w:sz w:val="28"/>
          <w:szCs w:val="28"/>
        </w:rPr>
      </w:pPr>
    </w:p>
    <w:p w:rsidR="00A16B35" w:rsidRPr="00B17E45" w:rsidRDefault="00A16B35" w:rsidP="00A16B35">
      <w:pPr>
        <w:pStyle w:val="affffffff5"/>
        <w:spacing w:line="1000" w:lineRule="exact"/>
        <w:rPr>
          <w:rFonts w:hint="eastAsia"/>
          <w:color w:val="000000"/>
        </w:rPr>
      </w:pPr>
    </w:p>
    <w:p w:rsidR="005626D1" w:rsidRDefault="005626D1" w:rsidP="00A16B35">
      <w:pPr>
        <w:pStyle w:val="affffffff5"/>
        <w:spacing w:line="1000" w:lineRule="exact"/>
        <w:rPr>
          <w:color w:val="000000"/>
        </w:rPr>
        <w:sectPr w:rsidR="005626D1" w:rsidSect="005626D1">
          <w:footerReference w:type="default" r:id="rId8"/>
          <w:pgSz w:w="11906" w:h="16838" w:code="9"/>
          <w:pgMar w:top="851" w:right="851" w:bottom="851" w:left="851" w:header="851" w:footer="510" w:gutter="0"/>
          <w:pgNumType w:start="307"/>
          <w:cols w:space="425"/>
          <w:docGrid w:type="lines" w:linePitch="360"/>
        </w:sectPr>
      </w:pPr>
    </w:p>
    <w:p w:rsidR="00A35197" w:rsidRPr="00A35197" w:rsidRDefault="00A35197" w:rsidP="00BA37C3"/>
    <w:sectPr w:rsidR="00A35197" w:rsidRPr="00A35197" w:rsidSect="008E1167">
      <w:footerReference w:type="default" r:id="rId9"/>
      <w:pgSz w:w="11906" w:h="16838" w:code="9"/>
      <w:pgMar w:top="851" w:right="851" w:bottom="851" w:left="851" w:header="851" w:footer="510" w:gutter="0"/>
      <w:pgNumType w:start="3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D5" w:rsidRDefault="003B25D5" w:rsidP="00F43485">
      <w:r>
        <w:separator/>
      </w:r>
    </w:p>
  </w:endnote>
  <w:endnote w:type="continuationSeparator" w:id="0">
    <w:p w:rsidR="003B25D5" w:rsidRDefault="003B25D5"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rsidP="000E0E0C">
    <w:pPr>
      <w:pStyle w:val="ad"/>
      <w:jc w:val="center"/>
    </w:pPr>
    <w:r>
      <w:fldChar w:fldCharType="begin"/>
    </w:r>
    <w:r>
      <w:instrText>PAGE   \* MERGEFORMAT</w:instrText>
    </w:r>
    <w:r>
      <w:fldChar w:fldCharType="separate"/>
    </w:r>
    <w:r w:rsidR="006F584C" w:rsidRPr="006F584C">
      <w:rPr>
        <w:noProof/>
        <w:lang w:val="zh-TW"/>
      </w:rPr>
      <w:t>310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6F584C" w:rsidRPr="006F584C">
      <w:rPr>
        <w:noProof/>
        <w:lang w:val="zh-TW"/>
      </w:rPr>
      <w:t>383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D5" w:rsidRDefault="003B25D5" w:rsidP="00F43485">
      <w:r>
        <w:separator/>
      </w:r>
    </w:p>
  </w:footnote>
  <w:footnote w:type="continuationSeparator" w:id="0">
    <w:p w:rsidR="003B25D5" w:rsidRDefault="003B25D5"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7CE1"/>
    <w:rsid w:val="002A1D37"/>
    <w:rsid w:val="002A54BA"/>
    <w:rsid w:val="002C00C9"/>
    <w:rsid w:val="002E6D4F"/>
    <w:rsid w:val="002F373D"/>
    <w:rsid w:val="00305D76"/>
    <w:rsid w:val="00332993"/>
    <w:rsid w:val="00341393"/>
    <w:rsid w:val="00361A19"/>
    <w:rsid w:val="003633C5"/>
    <w:rsid w:val="00372E36"/>
    <w:rsid w:val="003754AB"/>
    <w:rsid w:val="00395759"/>
    <w:rsid w:val="00396EB8"/>
    <w:rsid w:val="003B25D5"/>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7199F"/>
    <w:rsid w:val="006838DF"/>
    <w:rsid w:val="006A3B22"/>
    <w:rsid w:val="006A6AC8"/>
    <w:rsid w:val="006B038F"/>
    <w:rsid w:val="006B59CF"/>
    <w:rsid w:val="006C258C"/>
    <w:rsid w:val="006E6CF4"/>
    <w:rsid w:val="006F584C"/>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94B8F"/>
    <w:rsid w:val="008A60AA"/>
    <w:rsid w:val="008C131D"/>
    <w:rsid w:val="008C2228"/>
    <w:rsid w:val="008C465B"/>
    <w:rsid w:val="008E1167"/>
    <w:rsid w:val="008F1F59"/>
    <w:rsid w:val="008F5EA3"/>
    <w:rsid w:val="00935684"/>
    <w:rsid w:val="0094089A"/>
    <w:rsid w:val="00940960"/>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A37C3"/>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679D"/>
    <w:rsid w:val="00DC1767"/>
    <w:rsid w:val="00DC7E9B"/>
    <w:rsid w:val="00DF0464"/>
    <w:rsid w:val="00E04AAF"/>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Words>
  <Characters>1135</Characters>
  <Application>Microsoft Office Word</Application>
  <DocSecurity>0</DocSecurity>
  <Lines>9</Lines>
  <Paragraphs>2</Paragraphs>
  <ScaleCrop>false</ScaleCrop>
  <Company>Hewlett-Packard Company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2019-09-16T09:28:00Z</dcterms:created>
  <dcterms:modified xsi:type="dcterms:W3CDTF">2019-09-16T09:28:00Z</dcterms:modified>
</cp:coreProperties>
</file>