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9F" w:rsidRPr="00C70E6B" w:rsidRDefault="0067199F" w:rsidP="00583D07">
      <w:pPr>
        <w:widowControl/>
        <w:ind w:rightChars="110" w:right="264"/>
        <w:jc w:val="both"/>
        <w:rPr>
          <w:rFonts w:ascii="標楷體" w:eastAsia="標楷體" w:hAnsi="標楷體"/>
          <w:color w:val="000000"/>
          <w:sz w:val="28"/>
          <w:szCs w:val="28"/>
        </w:rPr>
      </w:pPr>
      <w:bookmarkStart w:id="0" w:name="_GoBack"/>
      <w:bookmarkEnd w:id="0"/>
    </w:p>
    <w:p w:rsidR="005E4A27" w:rsidRPr="00C70E6B" w:rsidRDefault="005E4A27" w:rsidP="005E4A27">
      <w:pPr>
        <w:pStyle w:val="affffffff5"/>
        <w:spacing w:line="1000" w:lineRule="exact"/>
        <w:rPr>
          <w:rFonts w:hint="eastAsia"/>
          <w:color w:val="000000"/>
        </w:rPr>
      </w:pPr>
    </w:p>
    <w:p w:rsidR="005E4A27" w:rsidRPr="00C70E6B" w:rsidRDefault="005E4A27" w:rsidP="005E4A27">
      <w:pPr>
        <w:pStyle w:val="affffffff5"/>
        <w:spacing w:line="1000" w:lineRule="exact"/>
        <w:rPr>
          <w:rFonts w:hint="eastAsia"/>
          <w:color w:val="000000"/>
        </w:rPr>
      </w:pPr>
    </w:p>
    <w:p w:rsidR="005E4A27" w:rsidRPr="00C70E6B" w:rsidRDefault="005E4A27" w:rsidP="005E4A27">
      <w:pPr>
        <w:pStyle w:val="affffffff5"/>
        <w:spacing w:line="1000" w:lineRule="exact"/>
        <w:rPr>
          <w:rFonts w:hint="eastAsia"/>
          <w:color w:val="000000"/>
        </w:rPr>
      </w:pPr>
    </w:p>
    <w:p w:rsidR="005E4A27" w:rsidRPr="00C70E6B" w:rsidRDefault="005E4A27" w:rsidP="005E4A27">
      <w:pPr>
        <w:pStyle w:val="affffffff5"/>
        <w:spacing w:line="1000" w:lineRule="exact"/>
        <w:rPr>
          <w:rFonts w:hint="eastAsia"/>
          <w:color w:val="000000"/>
        </w:rPr>
      </w:pPr>
    </w:p>
    <w:p w:rsidR="005E4A27" w:rsidRPr="00C70E6B" w:rsidRDefault="005E4A27" w:rsidP="005E4A27">
      <w:pPr>
        <w:pStyle w:val="affffffff5"/>
        <w:spacing w:line="1000" w:lineRule="exact"/>
        <w:rPr>
          <w:rFonts w:hint="eastAsia"/>
          <w:color w:val="000000"/>
        </w:rPr>
      </w:pPr>
    </w:p>
    <w:p w:rsidR="005E4A27" w:rsidRPr="00C70E6B" w:rsidRDefault="005E4A27" w:rsidP="005E4A27">
      <w:pPr>
        <w:pStyle w:val="affffffff5"/>
        <w:spacing w:line="1000" w:lineRule="exact"/>
        <w:rPr>
          <w:rFonts w:hint="eastAsia"/>
          <w:color w:val="000000"/>
        </w:rPr>
      </w:pPr>
    </w:p>
    <w:p w:rsidR="005E4A27" w:rsidRPr="00C70E6B" w:rsidRDefault="005E4A27" w:rsidP="005E4A27">
      <w:pPr>
        <w:pStyle w:val="affffffff5"/>
        <w:spacing w:line="1000" w:lineRule="exact"/>
        <w:rPr>
          <w:rFonts w:hint="eastAsia"/>
          <w:color w:val="000000"/>
        </w:rPr>
      </w:pPr>
      <w:r w:rsidRPr="00C70E6B">
        <w:rPr>
          <w:rFonts w:hint="eastAsia"/>
          <w:color w:val="000000"/>
        </w:rPr>
        <w:t>貳、財　政</w:t>
      </w:r>
    </w:p>
    <w:p w:rsidR="0067199F" w:rsidRPr="00C70E6B" w:rsidRDefault="005E4A27" w:rsidP="00583D07">
      <w:pPr>
        <w:pStyle w:val="affffffff5"/>
        <w:ind w:rightChars="110" w:right="264"/>
        <w:jc w:val="both"/>
        <w:rPr>
          <w:color w:val="000000"/>
        </w:rPr>
      </w:pPr>
      <w:r w:rsidRPr="00C70E6B">
        <w:rPr>
          <w:color w:val="000000"/>
        </w:rPr>
        <w:br w:type="page"/>
      </w:r>
    </w:p>
    <w:p w:rsidR="00A52886" w:rsidRPr="00C70E6B" w:rsidRDefault="0067199F" w:rsidP="005E4A27">
      <w:pPr>
        <w:pStyle w:val="affffffff7"/>
        <w:spacing w:beforeLines="50" w:before="180" w:after="0" w:line="440" w:lineRule="exact"/>
        <w:jc w:val="both"/>
        <w:rPr>
          <w:rFonts w:ascii="標楷體" w:eastAsia="標楷體" w:hAnsi="標楷體"/>
          <w:color w:val="000000"/>
        </w:rPr>
      </w:pPr>
      <w:r w:rsidRPr="00C70E6B">
        <w:rPr>
          <w:rFonts w:ascii="標楷體" w:eastAsia="標楷體" w:hAnsi="標楷體"/>
          <w:color w:val="000000"/>
        </w:rPr>
        <w:br w:type="page"/>
      </w:r>
      <w:r w:rsidR="00A52886" w:rsidRPr="00C70E6B">
        <w:rPr>
          <w:rFonts w:ascii="標楷體" w:eastAsia="標楷體" w:hAnsi="標楷體" w:hint="eastAsia"/>
          <w:color w:val="000000"/>
        </w:rPr>
        <w:lastRenderedPageBreak/>
        <w:t>一、財務管理</w:t>
      </w:r>
    </w:p>
    <w:p w:rsidR="00A52886" w:rsidRPr="00C70E6B" w:rsidRDefault="000F4CAC" w:rsidP="005E4A27">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一</w:t>
      </w:r>
      <w:r w:rsidRPr="00C70E6B">
        <w:rPr>
          <w:rFonts w:hint="eastAsia"/>
          <w:color w:val="000000"/>
        </w:rPr>
        <w:t>)</w:t>
      </w:r>
      <w:r w:rsidR="00A52886" w:rsidRPr="00C70E6B">
        <w:rPr>
          <w:rFonts w:hint="eastAsia"/>
          <w:color w:val="000000"/>
        </w:rPr>
        <w:t>10</w:t>
      </w:r>
      <w:r w:rsidR="00A52886" w:rsidRPr="00C70E6B">
        <w:rPr>
          <w:color w:val="000000"/>
        </w:rPr>
        <w:t>8</w:t>
      </w:r>
      <w:r w:rsidR="00A52886" w:rsidRPr="00C70E6B">
        <w:rPr>
          <w:rFonts w:hint="eastAsia"/>
          <w:color w:val="000000"/>
        </w:rPr>
        <w:t>年度上半年歲入執行情形</w:t>
      </w:r>
    </w:p>
    <w:p w:rsidR="00A52886" w:rsidRPr="00C70E6B" w:rsidRDefault="00A52886" w:rsidP="000F4CAC">
      <w:pPr>
        <w:pStyle w:val="affffffff3"/>
        <w:ind w:leftChars="350" w:left="840" w:rightChars="110" w:right="264"/>
        <w:jc w:val="both"/>
        <w:rPr>
          <w:color w:val="000000"/>
        </w:rPr>
      </w:pPr>
      <w:r w:rsidRPr="00C70E6B">
        <w:rPr>
          <w:rFonts w:hint="eastAsia"/>
          <w:color w:val="000000"/>
        </w:rPr>
        <w:t>本</w:t>
      </w:r>
      <w:r w:rsidR="000F4CAC" w:rsidRPr="00C70E6B">
        <w:rPr>
          <w:rFonts w:hint="eastAsia"/>
          <w:color w:val="000000"/>
        </w:rPr>
        <w:t>(</w:t>
      </w:r>
      <w:r w:rsidRPr="00C70E6B">
        <w:rPr>
          <w:color w:val="000000"/>
        </w:rPr>
        <w:t>1</w:t>
      </w:r>
      <w:r w:rsidRPr="00C70E6B">
        <w:rPr>
          <w:rFonts w:hint="eastAsia"/>
          <w:color w:val="000000"/>
        </w:rPr>
        <w:t>0</w:t>
      </w:r>
      <w:r w:rsidRPr="00C70E6B">
        <w:rPr>
          <w:color w:val="000000"/>
        </w:rPr>
        <w:t>8</w:t>
      </w:r>
      <w:r w:rsidR="000F4CAC" w:rsidRPr="00C70E6B">
        <w:rPr>
          <w:rFonts w:hint="eastAsia"/>
          <w:color w:val="000000"/>
        </w:rPr>
        <w:t>)</w:t>
      </w:r>
      <w:r w:rsidRPr="00C70E6B">
        <w:rPr>
          <w:rFonts w:hint="eastAsia"/>
          <w:color w:val="000000"/>
        </w:rPr>
        <w:t>年度歲入預算1,2</w:t>
      </w:r>
      <w:r w:rsidRPr="00C70E6B">
        <w:rPr>
          <w:color w:val="000000"/>
        </w:rPr>
        <w:t>69</w:t>
      </w:r>
      <w:r w:rsidRPr="00C70E6B">
        <w:rPr>
          <w:rFonts w:hint="eastAsia"/>
          <w:color w:val="000000"/>
        </w:rPr>
        <w:t>.</w:t>
      </w:r>
      <w:r w:rsidRPr="00C70E6B">
        <w:rPr>
          <w:color w:val="000000"/>
        </w:rPr>
        <w:t>43</w:t>
      </w:r>
      <w:r w:rsidRPr="00C70E6B">
        <w:rPr>
          <w:rFonts w:hint="eastAsia"/>
          <w:color w:val="000000"/>
        </w:rPr>
        <w:t>億元，截至</w:t>
      </w:r>
      <w:smartTag w:uri="urn:schemas-microsoft-com:office:smarttags" w:element="chsdate">
        <w:smartTagPr>
          <w:attr w:name="Year" w:val="2019"/>
          <w:attr w:name="Month" w:val="6"/>
          <w:attr w:name="Day" w:val="30"/>
          <w:attr w:name="IsLunarDate" w:val="False"/>
          <w:attr w:name="IsROCDate" w:val="False"/>
        </w:smartTagPr>
        <w:r w:rsidRPr="00C70E6B">
          <w:rPr>
            <w:color w:val="000000"/>
          </w:rPr>
          <w:t>6</w:t>
        </w:r>
        <w:r w:rsidRPr="00C70E6B">
          <w:rPr>
            <w:rFonts w:hint="eastAsia"/>
            <w:color w:val="000000"/>
          </w:rPr>
          <w:t>月</w:t>
        </w:r>
        <w:r w:rsidRPr="00C70E6B">
          <w:rPr>
            <w:color w:val="000000"/>
          </w:rPr>
          <w:t>30</w:t>
        </w:r>
        <w:r w:rsidRPr="00C70E6B">
          <w:rPr>
            <w:rFonts w:hint="eastAsia"/>
            <w:color w:val="000000"/>
          </w:rPr>
          <w:t>日</w:t>
        </w:r>
      </w:smartTag>
      <w:r w:rsidRPr="00C70E6B">
        <w:rPr>
          <w:rFonts w:hint="eastAsia"/>
          <w:color w:val="000000"/>
        </w:rPr>
        <w:t>止，實收數6</w:t>
      </w:r>
      <w:r w:rsidRPr="00C70E6B">
        <w:rPr>
          <w:color w:val="000000"/>
        </w:rPr>
        <w:t>20.21</w:t>
      </w:r>
      <w:r w:rsidRPr="00C70E6B">
        <w:rPr>
          <w:rFonts w:hint="eastAsia"/>
          <w:color w:val="000000"/>
        </w:rPr>
        <w:t>億元，預算執行率4</w:t>
      </w:r>
      <w:r w:rsidRPr="00C70E6B">
        <w:rPr>
          <w:color w:val="000000"/>
        </w:rPr>
        <w:t>8</w:t>
      </w:r>
      <w:r w:rsidRPr="00C70E6B">
        <w:rPr>
          <w:rFonts w:hint="eastAsia"/>
          <w:color w:val="000000"/>
        </w:rPr>
        <w:t>.</w:t>
      </w:r>
      <w:r w:rsidRPr="00C70E6B">
        <w:rPr>
          <w:color w:val="000000"/>
        </w:rPr>
        <w:t>86</w:t>
      </w:r>
      <w:r w:rsidRPr="00C70E6B">
        <w:rPr>
          <w:rFonts w:hint="eastAsia"/>
          <w:color w:val="000000"/>
        </w:rPr>
        <w:t>％；實質收入預算數952.11億元，實收數463.45億元，預算執行率48.68％。</w:t>
      </w:r>
      <w:r w:rsidR="000F4CAC" w:rsidRPr="00C70E6B">
        <w:rPr>
          <w:rFonts w:hint="eastAsia"/>
          <w:color w:val="000000"/>
        </w:rPr>
        <w:t>(</w:t>
      </w:r>
      <w:r w:rsidRPr="00C70E6B">
        <w:rPr>
          <w:rFonts w:hint="eastAsia"/>
          <w:color w:val="000000"/>
        </w:rPr>
        <w:t>詳如附表</w:t>
      </w:r>
      <w:r w:rsidR="000F4CAC" w:rsidRPr="00C70E6B">
        <w:rPr>
          <w:rFonts w:hint="eastAsia"/>
          <w:color w:val="000000"/>
        </w:rPr>
        <w:t>)</w:t>
      </w:r>
    </w:p>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w:t>
      </w:r>
      <w:r w:rsidR="00C11D58" w:rsidRPr="00C70E6B">
        <w:rPr>
          <w:rFonts w:ascii="標楷體" w:eastAsia="標楷體" w:hAnsi="標楷體" w:hint="eastAsia"/>
          <w:color w:val="000000"/>
          <w:sz w:val="28"/>
          <w:szCs w:val="28"/>
        </w:rPr>
        <w:t xml:space="preserve">                   </w:t>
      </w:r>
      <w:r w:rsidRPr="00C70E6B">
        <w:rPr>
          <w:rFonts w:ascii="標楷體" w:eastAsia="標楷體" w:hAnsi="標楷體" w:hint="eastAsia"/>
          <w:color w:val="000000"/>
          <w:sz w:val="28"/>
          <w:szCs w:val="28"/>
        </w:rPr>
        <w:t xml:space="preserve"> 單位：億元</w:t>
      </w: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1527"/>
        <w:gridCol w:w="1408"/>
        <w:gridCol w:w="1503"/>
        <w:gridCol w:w="1559"/>
        <w:gridCol w:w="1975"/>
      </w:tblGrid>
      <w:tr w:rsidR="00A52886" w:rsidRPr="00C70E6B">
        <w:trPr>
          <w:cantSplit/>
          <w:trHeight w:val="820"/>
          <w:jc w:val="center"/>
        </w:trPr>
        <w:tc>
          <w:tcPr>
            <w:tcW w:w="2935" w:type="dxa"/>
            <w:gridSpan w:val="2"/>
            <w:tcBorders>
              <w:top w:val="single" w:sz="4" w:space="0" w:color="auto"/>
              <w:left w:val="single" w:sz="4" w:space="0" w:color="auto"/>
              <w:bottom w:val="single" w:sz="4" w:space="0" w:color="auto"/>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科</w:t>
            </w:r>
            <w:r w:rsidRPr="00C70E6B">
              <w:rPr>
                <w:rFonts w:ascii="標楷體" w:eastAsia="標楷體" w:hAnsi="標楷體"/>
                <w:color w:val="000000"/>
                <w:sz w:val="28"/>
                <w:szCs w:val="28"/>
              </w:rPr>
              <w:t xml:space="preserve">     </w:t>
            </w:r>
            <w:r w:rsidRPr="00C70E6B">
              <w:rPr>
                <w:rFonts w:ascii="標楷體" w:eastAsia="標楷體" w:hAnsi="標楷體" w:hint="eastAsia"/>
                <w:color w:val="000000"/>
                <w:sz w:val="28"/>
                <w:szCs w:val="28"/>
              </w:rPr>
              <w:t>目</w:t>
            </w:r>
          </w:p>
        </w:tc>
        <w:tc>
          <w:tcPr>
            <w:tcW w:w="1503"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108年度</w:t>
            </w:r>
          </w:p>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預算數</w:t>
            </w:r>
          </w:p>
        </w:tc>
        <w:tc>
          <w:tcPr>
            <w:tcW w:w="1559"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截至6</w:t>
            </w:r>
            <w:r w:rsidRPr="00C70E6B">
              <w:rPr>
                <w:rFonts w:ascii="標楷體" w:eastAsia="標楷體" w:hAnsi="標楷體"/>
                <w:color w:val="000000"/>
                <w:sz w:val="28"/>
                <w:szCs w:val="28"/>
              </w:rPr>
              <w:t>/30</w:t>
            </w:r>
            <w:r w:rsidRPr="00C70E6B">
              <w:rPr>
                <w:rFonts w:ascii="標楷體" w:eastAsia="標楷體" w:hAnsi="標楷體" w:hint="eastAsia"/>
                <w:color w:val="000000"/>
                <w:sz w:val="28"/>
                <w:szCs w:val="28"/>
              </w:rPr>
              <w:t>實收數</w:t>
            </w:r>
          </w:p>
        </w:tc>
        <w:tc>
          <w:tcPr>
            <w:tcW w:w="1975"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預算執行率％</w:t>
            </w:r>
          </w:p>
        </w:tc>
      </w:tr>
      <w:tr w:rsidR="00A52886" w:rsidRPr="00C70E6B">
        <w:trPr>
          <w:cantSplit/>
          <w:trHeight w:val="619"/>
          <w:jc w:val="center"/>
        </w:trPr>
        <w:tc>
          <w:tcPr>
            <w:tcW w:w="1527" w:type="dxa"/>
            <w:tcBorders>
              <w:top w:val="single" w:sz="4" w:space="0" w:color="auto"/>
              <w:left w:val="single" w:sz="4" w:space="0" w:color="auto"/>
              <w:bottom w:val="single" w:sz="4" w:space="0" w:color="auto"/>
              <w:right w:val="nil"/>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稅課收入</w:t>
            </w:r>
          </w:p>
        </w:tc>
        <w:tc>
          <w:tcPr>
            <w:tcW w:w="1408" w:type="dxa"/>
            <w:tcBorders>
              <w:top w:val="single" w:sz="4" w:space="0" w:color="auto"/>
              <w:left w:val="nil"/>
              <w:bottom w:val="single" w:sz="4" w:space="0" w:color="auto"/>
              <w:right w:val="single" w:sz="4" w:space="0" w:color="auto"/>
            </w:tcBorders>
            <w:vAlign w:val="center"/>
          </w:tcPr>
          <w:p w:rsidR="00A52886" w:rsidRPr="00C70E6B" w:rsidRDefault="000F4CAC"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w:t>
            </w:r>
            <w:r w:rsidR="00A52886" w:rsidRPr="00C70E6B">
              <w:rPr>
                <w:rFonts w:ascii="標楷體" w:eastAsia="標楷體" w:hAnsi="標楷體" w:hint="eastAsia"/>
                <w:color w:val="000000"/>
                <w:sz w:val="28"/>
                <w:szCs w:val="28"/>
              </w:rPr>
              <w:t>1</w:t>
            </w:r>
            <w:r w:rsidRPr="00C70E6B">
              <w:rPr>
                <w:rFonts w:ascii="標楷體" w:eastAsia="標楷體" w:hAnsi="標楷體" w:hint="eastAsia"/>
                <w:color w:val="000000"/>
                <w:sz w:val="28"/>
                <w:szCs w:val="28"/>
              </w:rPr>
              <w:t>)</w:t>
            </w:r>
          </w:p>
        </w:tc>
        <w:tc>
          <w:tcPr>
            <w:tcW w:w="1503"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F3382C">
            <w:pPr>
              <w:spacing w:line="360" w:lineRule="exact"/>
              <w:ind w:rightChars="110" w:right="264"/>
              <w:jc w:val="right"/>
              <w:rPr>
                <w:rFonts w:ascii="標楷體" w:eastAsia="標楷體" w:hAnsi="標楷體"/>
                <w:color w:val="000000"/>
                <w:sz w:val="28"/>
                <w:szCs w:val="28"/>
              </w:rPr>
            </w:pPr>
            <w:r w:rsidRPr="00C70E6B">
              <w:rPr>
                <w:rFonts w:ascii="標楷體" w:eastAsia="標楷體" w:hAnsi="標楷體"/>
                <w:color w:val="000000"/>
                <w:sz w:val="28"/>
                <w:szCs w:val="28"/>
              </w:rPr>
              <w:t>735.75</w:t>
            </w:r>
            <w:r w:rsidRPr="00C70E6B">
              <w:rPr>
                <w:rFonts w:ascii="標楷體" w:eastAsia="標楷體" w:hAnsi="標楷體" w:hint="eastAsia"/>
                <w:color w:val="000000"/>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F3382C">
            <w:pPr>
              <w:spacing w:line="360" w:lineRule="exact"/>
              <w:ind w:rightChars="110" w:right="264"/>
              <w:jc w:val="right"/>
              <w:rPr>
                <w:rFonts w:ascii="標楷體" w:eastAsia="標楷體" w:hAnsi="標楷體"/>
                <w:color w:val="000000"/>
                <w:sz w:val="28"/>
                <w:szCs w:val="28"/>
              </w:rPr>
            </w:pPr>
            <w:r w:rsidRPr="00C70E6B">
              <w:rPr>
                <w:rFonts w:ascii="標楷體" w:eastAsia="標楷體" w:hAnsi="標楷體" w:hint="eastAsia"/>
                <w:color w:val="000000"/>
                <w:sz w:val="28"/>
                <w:szCs w:val="28"/>
              </w:rPr>
              <w:t>387.15</w:t>
            </w:r>
          </w:p>
        </w:tc>
        <w:tc>
          <w:tcPr>
            <w:tcW w:w="1975"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F3382C">
            <w:pPr>
              <w:spacing w:line="360" w:lineRule="exact"/>
              <w:ind w:rightChars="110" w:right="264"/>
              <w:jc w:val="right"/>
              <w:rPr>
                <w:rFonts w:ascii="標楷體" w:eastAsia="標楷體" w:hAnsi="標楷體"/>
                <w:color w:val="000000"/>
                <w:sz w:val="28"/>
                <w:szCs w:val="28"/>
              </w:rPr>
            </w:pPr>
            <w:r w:rsidRPr="00C70E6B">
              <w:rPr>
                <w:rFonts w:ascii="標楷體" w:eastAsia="標楷體" w:hAnsi="標楷體" w:hint="eastAsia"/>
                <w:color w:val="000000"/>
                <w:sz w:val="28"/>
                <w:szCs w:val="28"/>
              </w:rPr>
              <w:t>52.62</w:t>
            </w:r>
          </w:p>
        </w:tc>
      </w:tr>
      <w:tr w:rsidR="00A52886" w:rsidRPr="00C70E6B">
        <w:trPr>
          <w:cantSplit/>
          <w:trHeight w:val="529"/>
          <w:jc w:val="center"/>
        </w:trPr>
        <w:tc>
          <w:tcPr>
            <w:tcW w:w="1527" w:type="dxa"/>
            <w:tcBorders>
              <w:top w:val="single" w:sz="4" w:space="0" w:color="auto"/>
              <w:left w:val="single" w:sz="4" w:space="0" w:color="auto"/>
              <w:bottom w:val="single" w:sz="4" w:space="0" w:color="auto"/>
              <w:right w:val="nil"/>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非稅課收入</w:t>
            </w:r>
          </w:p>
        </w:tc>
        <w:tc>
          <w:tcPr>
            <w:tcW w:w="1408" w:type="dxa"/>
            <w:tcBorders>
              <w:top w:val="single" w:sz="4" w:space="0" w:color="auto"/>
              <w:left w:val="nil"/>
              <w:bottom w:val="single" w:sz="4" w:space="0" w:color="auto"/>
              <w:right w:val="single" w:sz="4" w:space="0" w:color="auto"/>
            </w:tcBorders>
            <w:vAlign w:val="center"/>
          </w:tcPr>
          <w:p w:rsidR="00A52886" w:rsidRPr="00C70E6B" w:rsidRDefault="000F4CAC"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w:t>
            </w:r>
            <w:r w:rsidR="00A52886" w:rsidRPr="00C70E6B">
              <w:rPr>
                <w:rFonts w:ascii="標楷體" w:eastAsia="標楷體" w:hAnsi="標楷體" w:hint="eastAsia"/>
                <w:color w:val="000000"/>
                <w:sz w:val="28"/>
                <w:szCs w:val="28"/>
              </w:rPr>
              <w:t>2</w:t>
            </w:r>
            <w:r w:rsidRPr="00C70E6B">
              <w:rPr>
                <w:rFonts w:ascii="標楷體" w:eastAsia="標楷體" w:hAnsi="標楷體" w:hint="eastAsia"/>
                <w:color w:val="000000"/>
                <w:sz w:val="28"/>
                <w:szCs w:val="28"/>
              </w:rPr>
              <w:t>)</w:t>
            </w:r>
          </w:p>
        </w:tc>
        <w:tc>
          <w:tcPr>
            <w:tcW w:w="1503"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F3382C">
            <w:pPr>
              <w:spacing w:line="360" w:lineRule="exact"/>
              <w:ind w:rightChars="110" w:right="264"/>
              <w:jc w:val="right"/>
              <w:rPr>
                <w:rFonts w:ascii="標楷體" w:eastAsia="標楷體" w:hAnsi="標楷體"/>
                <w:color w:val="000000"/>
                <w:sz w:val="28"/>
                <w:szCs w:val="28"/>
              </w:rPr>
            </w:pPr>
            <w:r w:rsidRPr="00C70E6B">
              <w:rPr>
                <w:rFonts w:ascii="標楷體" w:eastAsia="標楷體" w:hAnsi="標楷體"/>
                <w:color w:val="000000"/>
                <w:sz w:val="28"/>
                <w:szCs w:val="28"/>
              </w:rPr>
              <w:t>216.36</w:t>
            </w:r>
          </w:p>
        </w:tc>
        <w:tc>
          <w:tcPr>
            <w:tcW w:w="1559"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F3382C">
            <w:pPr>
              <w:spacing w:line="360" w:lineRule="exact"/>
              <w:ind w:rightChars="110" w:right="264"/>
              <w:jc w:val="right"/>
              <w:rPr>
                <w:rFonts w:ascii="標楷體" w:eastAsia="標楷體" w:hAnsi="標楷體"/>
                <w:color w:val="000000"/>
                <w:sz w:val="28"/>
                <w:szCs w:val="28"/>
              </w:rPr>
            </w:pPr>
            <w:r w:rsidRPr="00C70E6B">
              <w:rPr>
                <w:rFonts w:ascii="標楷體" w:eastAsia="標楷體" w:hAnsi="標楷體" w:hint="eastAsia"/>
                <w:color w:val="000000"/>
                <w:sz w:val="28"/>
                <w:szCs w:val="28"/>
              </w:rPr>
              <w:t>76.30</w:t>
            </w:r>
          </w:p>
        </w:tc>
        <w:tc>
          <w:tcPr>
            <w:tcW w:w="1975"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F3382C">
            <w:pPr>
              <w:spacing w:line="360" w:lineRule="exact"/>
              <w:ind w:rightChars="110" w:right="264"/>
              <w:jc w:val="right"/>
              <w:rPr>
                <w:rFonts w:ascii="標楷體" w:eastAsia="標楷體" w:hAnsi="標楷體"/>
                <w:color w:val="000000"/>
                <w:sz w:val="28"/>
                <w:szCs w:val="28"/>
              </w:rPr>
            </w:pPr>
            <w:r w:rsidRPr="00C70E6B">
              <w:rPr>
                <w:rFonts w:ascii="標楷體" w:eastAsia="標楷體" w:hAnsi="標楷體" w:hint="eastAsia"/>
                <w:color w:val="000000"/>
                <w:sz w:val="28"/>
                <w:szCs w:val="28"/>
              </w:rPr>
              <w:t>35.26</w:t>
            </w:r>
          </w:p>
        </w:tc>
      </w:tr>
      <w:tr w:rsidR="00A52886" w:rsidRPr="00C70E6B">
        <w:trPr>
          <w:cantSplit/>
          <w:trHeight w:val="497"/>
          <w:jc w:val="center"/>
        </w:trPr>
        <w:tc>
          <w:tcPr>
            <w:tcW w:w="1527" w:type="dxa"/>
            <w:tcBorders>
              <w:top w:val="single" w:sz="4" w:space="0" w:color="auto"/>
              <w:left w:val="single" w:sz="4" w:space="0" w:color="auto"/>
              <w:bottom w:val="single" w:sz="4" w:space="0" w:color="auto"/>
              <w:right w:val="nil"/>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實質收入</w:t>
            </w:r>
          </w:p>
        </w:tc>
        <w:tc>
          <w:tcPr>
            <w:tcW w:w="1408" w:type="dxa"/>
            <w:tcBorders>
              <w:top w:val="single" w:sz="4" w:space="0" w:color="auto"/>
              <w:left w:val="nil"/>
              <w:bottom w:val="single" w:sz="4" w:space="0" w:color="auto"/>
              <w:right w:val="single" w:sz="4" w:space="0" w:color="auto"/>
            </w:tcBorders>
            <w:vAlign w:val="center"/>
          </w:tcPr>
          <w:p w:rsidR="00A52886" w:rsidRPr="00C70E6B" w:rsidRDefault="000F4CAC"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w:t>
            </w:r>
            <w:r w:rsidR="00A52886" w:rsidRPr="00C70E6B">
              <w:rPr>
                <w:rFonts w:ascii="標楷體" w:eastAsia="標楷體" w:hAnsi="標楷體" w:hint="eastAsia"/>
                <w:color w:val="000000"/>
                <w:sz w:val="28"/>
                <w:szCs w:val="28"/>
              </w:rPr>
              <w:t>1</w:t>
            </w:r>
            <w:r w:rsidRPr="00C70E6B">
              <w:rPr>
                <w:rFonts w:ascii="標楷體" w:eastAsia="標楷體" w:hAnsi="標楷體" w:hint="eastAsia"/>
                <w:color w:val="000000"/>
                <w:sz w:val="28"/>
                <w:szCs w:val="28"/>
              </w:rPr>
              <w:t>)</w:t>
            </w:r>
            <w:r w:rsidR="00A52886" w:rsidRPr="00C70E6B">
              <w:rPr>
                <w:rFonts w:ascii="標楷體" w:eastAsia="標楷體" w:hAnsi="標楷體" w:hint="eastAsia"/>
                <w:color w:val="000000"/>
                <w:sz w:val="28"/>
                <w:szCs w:val="28"/>
              </w:rPr>
              <w:t>+</w:t>
            </w:r>
            <w:r w:rsidRPr="00C70E6B">
              <w:rPr>
                <w:rFonts w:ascii="標楷體" w:eastAsia="標楷體" w:hAnsi="標楷體" w:hint="eastAsia"/>
                <w:color w:val="000000"/>
                <w:sz w:val="28"/>
                <w:szCs w:val="28"/>
              </w:rPr>
              <w:t>(</w:t>
            </w:r>
            <w:r w:rsidR="00A52886" w:rsidRPr="00C70E6B">
              <w:rPr>
                <w:rFonts w:ascii="標楷體" w:eastAsia="標楷體" w:hAnsi="標楷體" w:hint="eastAsia"/>
                <w:color w:val="000000"/>
                <w:sz w:val="28"/>
                <w:szCs w:val="28"/>
              </w:rPr>
              <w:t>2</w:t>
            </w:r>
            <w:r w:rsidRPr="00C70E6B">
              <w:rPr>
                <w:rFonts w:ascii="標楷體" w:eastAsia="標楷體" w:hAnsi="標楷體" w:hint="eastAsia"/>
                <w:color w:val="000000"/>
                <w:sz w:val="28"/>
                <w:szCs w:val="28"/>
              </w:rPr>
              <w:t>)</w:t>
            </w:r>
          </w:p>
        </w:tc>
        <w:tc>
          <w:tcPr>
            <w:tcW w:w="1503"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F3382C">
            <w:pPr>
              <w:spacing w:line="360" w:lineRule="exact"/>
              <w:ind w:rightChars="110" w:right="264"/>
              <w:jc w:val="right"/>
              <w:rPr>
                <w:rFonts w:ascii="標楷體" w:eastAsia="標楷體" w:hAnsi="標楷體"/>
                <w:color w:val="000000"/>
                <w:sz w:val="28"/>
                <w:szCs w:val="28"/>
              </w:rPr>
            </w:pPr>
            <w:r w:rsidRPr="00C70E6B">
              <w:rPr>
                <w:rFonts w:ascii="標楷體" w:eastAsia="標楷體" w:hAnsi="標楷體"/>
                <w:color w:val="000000"/>
                <w:sz w:val="28"/>
                <w:szCs w:val="28"/>
              </w:rPr>
              <w:t>952.11</w:t>
            </w:r>
          </w:p>
        </w:tc>
        <w:tc>
          <w:tcPr>
            <w:tcW w:w="1559"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F3382C">
            <w:pPr>
              <w:spacing w:line="360" w:lineRule="exact"/>
              <w:ind w:rightChars="110" w:right="264"/>
              <w:jc w:val="right"/>
              <w:rPr>
                <w:rFonts w:ascii="標楷體" w:eastAsia="標楷體" w:hAnsi="標楷體"/>
                <w:color w:val="000000"/>
                <w:sz w:val="28"/>
                <w:szCs w:val="28"/>
              </w:rPr>
            </w:pPr>
            <w:r w:rsidRPr="00C70E6B">
              <w:rPr>
                <w:rFonts w:ascii="標楷體" w:eastAsia="標楷體" w:hAnsi="標楷體" w:hint="eastAsia"/>
                <w:color w:val="000000"/>
                <w:sz w:val="28"/>
                <w:szCs w:val="28"/>
              </w:rPr>
              <w:t>463.45</w:t>
            </w:r>
          </w:p>
        </w:tc>
        <w:tc>
          <w:tcPr>
            <w:tcW w:w="1975"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F3382C">
            <w:pPr>
              <w:spacing w:line="360" w:lineRule="exact"/>
              <w:ind w:rightChars="110" w:right="264"/>
              <w:jc w:val="right"/>
              <w:rPr>
                <w:rFonts w:ascii="標楷體" w:eastAsia="標楷體" w:hAnsi="標楷體"/>
                <w:color w:val="000000"/>
                <w:sz w:val="28"/>
                <w:szCs w:val="28"/>
              </w:rPr>
            </w:pPr>
            <w:r w:rsidRPr="00C70E6B">
              <w:rPr>
                <w:rFonts w:ascii="標楷體" w:eastAsia="標楷體" w:hAnsi="標楷體" w:hint="eastAsia"/>
                <w:color w:val="000000"/>
                <w:sz w:val="28"/>
                <w:szCs w:val="28"/>
              </w:rPr>
              <w:t>48.68</w:t>
            </w:r>
          </w:p>
        </w:tc>
      </w:tr>
      <w:tr w:rsidR="00A52886" w:rsidRPr="00C70E6B">
        <w:trPr>
          <w:cantSplit/>
          <w:trHeight w:val="497"/>
          <w:jc w:val="center"/>
        </w:trPr>
        <w:tc>
          <w:tcPr>
            <w:tcW w:w="1527" w:type="dxa"/>
            <w:tcBorders>
              <w:top w:val="single" w:sz="4" w:space="0" w:color="auto"/>
              <w:left w:val="single" w:sz="4" w:space="0" w:color="auto"/>
              <w:bottom w:val="single" w:sz="4" w:space="0" w:color="auto"/>
              <w:right w:val="nil"/>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補助收入</w:t>
            </w:r>
          </w:p>
        </w:tc>
        <w:tc>
          <w:tcPr>
            <w:tcW w:w="1408" w:type="dxa"/>
            <w:tcBorders>
              <w:top w:val="single" w:sz="4" w:space="0" w:color="auto"/>
              <w:left w:val="nil"/>
              <w:bottom w:val="single" w:sz="4" w:space="0" w:color="auto"/>
              <w:right w:val="single" w:sz="4" w:space="0" w:color="auto"/>
            </w:tcBorders>
            <w:vAlign w:val="center"/>
          </w:tcPr>
          <w:p w:rsidR="00A52886" w:rsidRPr="00C70E6B" w:rsidRDefault="000F4CAC"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w:t>
            </w:r>
            <w:r w:rsidR="00A52886" w:rsidRPr="00C70E6B">
              <w:rPr>
                <w:rFonts w:ascii="標楷體" w:eastAsia="標楷體" w:hAnsi="標楷體" w:hint="eastAsia"/>
                <w:color w:val="000000"/>
                <w:sz w:val="28"/>
                <w:szCs w:val="28"/>
              </w:rPr>
              <w:t>3</w:t>
            </w:r>
            <w:r w:rsidRPr="00C70E6B">
              <w:rPr>
                <w:rFonts w:ascii="標楷體" w:eastAsia="標楷體" w:hAnsi="標楷體" w:hint="eastAsia"/>
                <w:color w:val="000000"/>
                <w:sz w:val="28"/>
                <w:szCs w:val="28"/>
              </w:rPr>
              <w:t>)</w:t>
            </w:r>
          </w:p>
        </w:tc>
        <w:tc>
          <w:tcPr>
            <w:tcW w:w="1503"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F3382C">
            <w:pPr>
              <w:spacing w:line="360" w:lineRule="exact"/>
              <w:ind w:rightChars="110" w:right="264"/>
              <w:jc w:val="right"/>
              <w:rPr>
                <w:rFonts w:ascii="標楷體" w:eastAsia="標楷體" w:hAnsi="標楷體"/>
                <w:color w:val="000000"/>
                <w:sz w:val="28"/>
                <w:szCs w:val="28"/>
              </w:rPr>
            </w:pPr>
            <w:r w:rsidRPr="00C70E6B">
              <w:rPr>
                <w:rFonts w:ascii="標楷體" w:eastAsia="標楷體" w:hAnsi="標楷體"/>
                <w:color w:val="000000"/>
                <w:sz w:val="28"/>
                <w:szCs w:val="28"/>
              </w:rPr>
              <w:t>317.32</w:t>
            </w:r>
          </w:p>
        </w:tc>
        <w:tc>
          <w:tcPr>
            <w:tcW w:w="1559"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F3382C">
            <w:pPr>
              <w:spacing w:line="360" w:lineRule="exact"/>
              <w:ind w:rightChars="110" w:right="264"/>
              <w:jc w:val="right"/>
              <w:rPr>
                <w:rFonts w:ascii="標楷體" w:eastAsia="標楷體" w:hAnsi="標楷體"/>
                <w:color w:val="000000"/>
                <w:sz w:val="28"/>
                <w:szCs w:val="28"/>
              </w:rPr>
            </w:pPr>
            <w:r w:rsidRPr="00C70E6B">
              <w:rPr>
                <w:rFonts w:ascii="標楷體" w:eastAsia="標楷體" w:hAnsi="標楷體" w:hint="eastAsia"/>
                <w:color w:val="000000"/>
                <w:sz w:val="28"/>
                <w:szCs w:val="28"/>
              </w:rPr>
              <w:t>156.76</w:t>
            </w:r>
          </w:p>
        </w:tc>
        <w:tc>
          <w:tcPr>
            <w:tcW w:w="1975"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F3382C">
            <w:pPr>
              <w:spacing w:line="360" w:lineRule="exact"/>
              <w:ind w:rightChars="110" w:right="264"/>
              <w:jc w:val="right"/>
              <w:rPr>
                <w:rFonts w:ascii="標楷體" w:eastAsia="標楷體" w:hAnsi="標楷體"/>
                <w:color w:val="000000"/>
                <w:sz w:val="28"/>
                <w:szCs w:val="28"/>
              </w:rPr>
            </w:pPr>
            <w:r w:rsidRPr="00C70E6B">
              <w:rPr>
                <w:rFonts w:ascii="標楷體" w:eastAsia="標楷體" w:hAnsi="標楷體" w:hint="eastAsia"/>
                <w:color w:val="000000"/>
                <w:sz w:val="28"/>
                <w:szCs w:val="28"/>
              </w:rPr>
              <w:t>49.40</w:t>
            </w:r>
          </w:p>
        </w:tc>
      </w:tr>
      <w:tr w:rsidR="00A52886" w:rsidRPr="00C70E6B">
        <w:trPr>
          <w:cantSplit/>
          <w:trHeight w:val="595"/>
          <w:jc w:val="center"/>
        </w:trPr>
        <w:tc>
          <w:tcPr>
            <w:tcW w:w="1527" w:type="dxa"/>
            <w:tcBorders>
              <w:top w:val="single" w:sz="4" w:space="0" w:color="auto"/>
              <w:left w:val="single" w:sz="4" w:space="0" w:color="auto"/>
              <w:bottom w:val="single" w:sz="4" w:space="0" w:color="auto"/>
              <w:right w:val="nil"/>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歲入總計</w:t>
            </w:r>
          </w:p>
        </w:tc>
        <w:tc>
          <w:tcPr>
            <w:tcW w:w="1408" w:type="dxa"/>
            <w:tcBorders>
              <w:top w:val="single" w:sz="4" w:space="0" w:color="auto"/>
              <w:left w:val="nil"/>
              <w:bottom w:val="single" w:sz="4" w:space="0" w:color="auto"/>
              <w:right w:val="single" w:sz="4" w:space="0" w:color="auto"/>
            </w:tcBorders>
            <w:vAlign w:val="center"/>
          </w:tcPr>
          <w:p w:rsidR="00A52886" w:rsidRPr="00C70E6B" w:rsidRDefault="000F4CAC"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w:t>
            </w:r>
            <w:r w:rsidR="00A52886" w:rsidRPr="00C70E6B">
              <w:rPr>
                <w:rFonts w:ascii="標楷體" w:eastAsia="標楷體" w:hAnsi="標楷體" w:hint="eastAsia"/>
                <w:color w:val="000000"/>
                <w:sz w:val="28"/>
                <w:szCs w:val="28"/>
              </w:rPr>
              <w:t>1</w:t>
            </w:r>
            <w:r w:rsidRPr="00C70E6B">
              <w:rPr>
                <w:rFonts w:ascii="標楷體" w:eastAsia="標楷體" w:hAnsi="標楷體" w:hint="eastAsia"/>
                <w:color w:val="000000"/>
                <w:sz w:val="28"/>
                <w:szCs w:val="28"/>
              </w:rPr>
              <w:t>)</w:t>
            </w:r>
            <w:r w:rsidR="00A52886" w:rsidRPr="00C70E6B">
              <w:rPr>
                <w:rFonts w:ascii="標楷體" w:eastAsia="標楷體" w:hAnsi="標楷體" w:hint="eastAsia"/>
                <w:color w:val="000000"/>
                <w:sz w:val="28"/>
                <w:szCs w:val="28"/>
              </w:rPr>
              <w:t>+</w:t>
            </w:r>
            <w:r w:rsidRPr="00C70E6B">
              <w:rPr>
                <w:rFonts w:ascii="標楷體" w:eastAsia="標楷體" w:hAnsi="標楷體" w:hint="eastAsia"/>
                <w:color w:val="000000"/>
                <w:sz w:val="28"/>
                <w:szCs w:val="28"/>
              </w:rPr>
              <w:t>(</w:t>
            </w:r>
            <w:r w:rsidR="00A52886" w:rsidRPr="00C70E6B">
              <w:rPr>
                <w:rFonts w:ascii="標楷體" w:eastAsia="標楷體" w:hAnsi="標楷體" w:hint="eastAsia"/>
                <w:color w:val="000000"/>
                <w:sz w:val="28"/>
                <w:szCs w:val="28"/>
              </w:rPr>
              <w:t>2</w:t>
            </w:r>
            <w:r w:rsidRPr="00C70E6B">
              <w:rPr>
                <w:rFonts w:ascii="標楷體" w:eastAsia="標楷體" w:hAnsi="標楷體" w:hint="eastAsia"/>
                <w:color w:val="000000"/>
                <w:sz w:val="28"/>
                <w:szCs w:val="28"/>
              </w:rPr>
              <w:t>)</w:t>
            </w:r>
            <w:r w:rsidR="00A52886" w:rsidRPr="00C70E6B">
              <w:rPr>
                <w:rFonts w:ascii="標楷體" w:eastAsia="標楷體" w:hAnsi="標楷體" w:hint="eastAsia"/>
                <w:color w:val="000000"/>
                <w:sz w:val="28"/>
                <w:szCs w:val="28"/>
              </w:rPr>
              <w:t>+</w:t>
            </w:r>
            <w:r w:rsidRPr="00C70E6B">
              <w:rPr>
                <w:rFonts w:ascii="標楷體" w:eastAsia="標楷體" w:hAnsi="標楷體" w:hint="eastAsia"/>
                <w:color w:val="000000"/>
                <w:sz w:val="28"/>
                <w:szCs w:val="28"/>
              </w:rPr>
              <w:t>(</w:t>
            </w:r>
            <w:r w:rsidR="00A52886" w:rsidRPr="00C70E6B">
              <w:rPr>
                <w:rFonts w:ascii="標楷體" w:eastAsia="標楷體" w:hAnsi="標楷體" w:hint="eastAsia"/>
                <w:color w:val="000000"/>
                <w:sz w:val="28"/>
                <w:szCs w:val="28"/>
              </w:rPr>
              <w:t>3</w:t>
            </w:r>
            <w:r w:rsidRPr="00C70E6B">
              <w:rPr>
                <w:rFonts w:ascii="標楷體" w:eastAsia="標楷體" w:hAnsi="標楷體" w:hint="eastAsia"/>
                <w:color w:val="000000"/>
                <w:sz w:val="28"/>
                <w:szCs w:val="28"/>
              </w:rPr>
              <w:t>)</w:t>
            </w:r>
          </w:p>
        </w:tc>
        <w:tc>
          <w:tcPr>
            <w:tcW w:w="1503"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F3382C">
            <w:pPr>
              <w:spacing w:line="360" w:lineRule="exact"/>
              <w:ind w:rightChars="110" w:right="264"/>
              <w:jc w:val="right"/>
              <w:rPr>
                <w:rFonts w:ascii="標楷體" w:eastAsia="標楷體" w:hAnsi="標楷體"/>
                <w:color w:val="000000"/>
                <w:sz w:val="28"/>
                <w:szCs w:val="28"/>
              </w:rPr>
            </w:pPr>
            <w:r w:rsidRPr="00C70E6B">
              <w:rPr>
                <w:rFonts w:ascii="標楷體" w:eastAsia="標楷體" w:hAnsi="標楷體" w:hint="eastAsia"/>
                <w:color w:val="000000"/>
                <w:sz w:val="28"/>
                <w:szCs w:val="28"/>
              </w:rPr>
              <w:t>1,</w:t>
            </w:r>
            <w:r w:rsidRPr="00C70E6B">
              <w:rPr>
                <w:rFonts w:ascii="標楷體" w:eastAsia="標楷體" w:hAnsi="標楷體"/>
                <w:color w:val="000000"/>
                <w:sz w:val="28"/>
                <w:szCs w:val="28"/>
              </w:rPr>
              <w:t>269.43</w:t>
            </w:r>
          </w:p>
        </w:tc>
        <w:tc>
          <w:tcPr>
            <w:tcW w:w="1559"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F3382C">
            <w:pPr>
              <w:spacing w:line="360" w:lineRule="exact"/>
              <w:ind w:rightChars="110" w:right="264"/>
              <w:jc w:val="right"/>
              <w:rPr>
                <w:rFonts w:ascii="標楷體" w:eastAsia="標楷體" w:hAnsi="標楷體"/>
                <w:color w:val="000000"/>
                <w:sz w:val="28"/>
                <w:szCs w:val="28"/>
              </w:rPr>
            </w:pPr>
            <w:r w:rsidRPr="00C70E6B">
              <w:rPr>
                <w:rFonts w:ascii="標楷體" w:eastAsia="標楷體" w:hAnsi="標楷體" w:hint="eastAsia"/>
                <w:color w:val="000000"/>
                <w:sz w:val="28"/>
                <w:szCs w:val="28"/>
              </w:rPr>
              <w:t>620.21</w:t>
            </w:r>
          </w:p>
        </w:tc>
        <w:tc>
          <w:tcPr>
            <w:tcW w:w="1975" w:type="dxa"/>
            <w:tcBorders>
              <w:top w:val="single" w:sz="4" w:space="0" w:color="auto"/>
              <w:left w:val="single" w:sz="4" w:space="0" w:color="auto"/>
              <w:bottom w:val="single" w:sz="4" w:space="0" w:color="auto"/>
              <w:right w:val="single" w:sz="4" w:space="0" w:color="auto"/>
            </w:tcBorders>
            <w:vAlign w:val="center"/>
          </w:tcPr>
          <w:p w:rsidR="00A52886" w:rsidRPr="00C70E6B" w:rsidRDefault="00A52886" w:rsidP="00F3382C">
            <w:pPr>
              <w:spacing w:line="360" w:lineRule="exact"/>
              <w:ind w:rightChars="110" w:right="264"/>
              <w:jc w:val="right"/>
              <w:rPr>
                <w:rFonts w:ascii="標楷體" w:eastAsia="標楷體" w:hAnsi="標楷體"/>
                <w:color w:val="000000"/>
                <w:sz w:val="28"/>
                <w:szCs w:val="28"/>
              </w:rPr>
            </w:pPr>
            <w:r w:rsidRPr="00C70E6B">
              <w:rPr>
                <w:rFonts w:ascii="標楷體" w:eastAsia="標楷體" w:hAnsi="標楷體" w:hint="eastAsia"/>
                <w:color w:val="000000"/>
                <w:sz w:val="28"/>
                <w:szCs w:val="28"/>
              </w:rPr>
              <w:t>48.86</w:t>
            </w:r>
          </w:p>
        </w:tc>
      </w:tr>
    </w:tbl>
    <w:p w:rsidR="0067199F" w:rsidRPr="00C70E6B" w:rsidRDefault="005E4A27" w:rsidP="005E4A27">
      <w:pPr>
        <w:pStyle w:val="affffffffb"/>
        <w:ind w:leftChars="350" w:left="1120" w:rightChars="0" w:right="0" w:hangingChars="100" w:hanging="280"/>
        <w:jc w:val="both"/>
        <w:rPr>
          <w:color w:val="000000"/>
        </w:rPr>
      </w:pPr>
      <w:r w:rsidRPr="00C70E6B">
        <w:rPr>
          <w:rFonts w:hint="eastAsia"/>
          <w:color w:val="000000"/>
        </w:rPr>
        <w:t>1.</w:t>
      </w:r>
      <w:r w:rsidR="00A52886" w:rsidRPr="00C70E6B">
        <w:rPr>
          <w:rFonts w:hint="eastAsia"/>
          <w:color w:val="000000"/>
        </w:rPr>
        <w:t>稅課收入</w:t>
      </w:r>
      <w:r w:rsidR="0067199F" w:rsidRPr="00C70E6B">
        <w:rPr>
          <w:rFonts w:hint="eastAsia"/>
          <w:color w:val="000000"/>
        </w:rPr>
        <w:br/>
      </w:r>
      <w:r w:rsidR="00A52886" w:rsidRPr="00C70E6B">
        <w:rPr>
          <w:rFonts w:hint="eastAsia"/>
          <w:color w:val="000000"/>
        </w:rPr>
        <w:t>預算數7</w:t>
      </w:r>
      <w:r w:rsidR="00A52886" w:rsidRPr="00C70E6B">
        <w:rPr>
          <w:color w:val="000000"/>
        </w:rPr>
        <w:t>35.75</w:t>
      </w:r>
      <w:r w:rsidR="00A52886" w:rsidRPr="00C70E6B">
        <w:rPr>
          <w:rFonts w:hint="eastAsia"/>
          <w:color w:val="000000"/>
        </w:rPr>
        <w:t>億元，實收數387.15億元，預算執行率52.62％，地方稅部分，實收數232.68億元，其中使用牌照稅、房屋稅及地價稅開徵期間分別為</w:t>
      </w:r>
      <w:r w:rsidR="00A52886" w:rsidRPr="00C70E6B">
        <w:rPr>
          <w:color w:val="000000"/>
        </w:rPr>
        <w:t>4</w:t>
      </w:r>
      <w:r w:rsidR="00A52886" w:rsidRPr="00C70E6B">
        <w:rPr>
          <w:rFonts w:hint="eastAsia"/>
          <w:color w:val="000000"/>
        </w:rPr>
        <w:t>月、5月及11月，執行率為96.60％、</w:t>
      </w:r>
      <w:r w:rsidR="00A52886" w:rsidRPr="00C70E6B">
        <w:rPr>
          <w:color w:val="000000"/>
        </w:rPr>
        <w:t xml:space="preserve"> </w:t>
      </w:r>
      <w:r w:rsidR="00A52886" w:rsidRPr="00C70E6B">
        <w:rPr>
          <w:rFonts w:hint="eastAsia"/>
          <w:color w:val="000000"/>
        </w:rPr>
        <w:t>97.98％、2.35％，而土地增值稅、契稅、印花稅及娛樂稅執行率分別為55.24％、67.86％、52.91％、56.58％；國稅之遺產及贈與稅、中央統籌分配稅及菸酒稅執行率分別為45.82％、47.73％及32.73％。</w:t>
      </w:r>
    </w:p>
    <w:p w:rsidR="0067199F" w:rsidRPr="00C70E6B" w:rsidRDefault="005E4A27" w:rsidP="005E4A27">
      <w:pPr>
        <w:pStyle w:val="affffffffb"/>
        <w:ind w:leftChars="350" w:left="1120" w:rightChars="0" w:right="0" w:hangingChars="100" w:hanging="280"/>
        <w:jc w:val="both"/>
        <w:rPr>
          <w:color w:val="000000"/>
        </w:rPr>
      </w:pPr>
      <w:r w:rsidRPr="00C70E6B">
        <w:rPr>
          <w:rFonts w:hint="eastAsia"/>
          <w:color w:val="000000"/>
        </w:rPr>
        <w:t>2.</w:t>
      </w:r>
      <w:r w:rsidR="00A52886" w:rsidRPr="00C70E6B">
        <w:rPr>
          <w:rFonts w:hint="eastAsia"/>
          <w:color w:val="000000"/>
        </w:rPr>
        <w:t>非稅課收入</w:t>
      </w:r>
      <w:r w:rsidR="0067199F" w:rsidRPr="00C70E6B">
        <w:rPr>
          <w:rFonts w:hint="eastAsia"/>
          <w:color w:val="000000"/>
        </w:rPr>
        <w:br/>
      </w:r>
      <w:r w:rsidR="00A52886" w:rsidRPr="00C70E6B">
        <w:rPr>
          <w:rFonts w:hint="eastAsia"/>
          <w:color w:val="000000"/>
        </w:rPr>
        <w:t>預算數</w:t>
      </w:r>
      <w:r w:rsidR="00A52886" w:rsidRPr="00C70E6B">
        <w:rPr>
          <w:color w:val="000000"/>
        </w:rPr>
        <w:t>216.36</w:t>
      </w:r>
      <w:r w:rsidR="00A52886" w:rsidRPr="00C70E6B">
        <w:rPr>
          <w:rFonts w:hint="eastAsia"/>
          <w:color w:val="000000"/>
        </w:rPr>
        <w:t>億元，實收數76.30億元，預算執行率為35.26％，罰款及賠償收入、規費收入、財產收入、捐獻及贈與收入及其他收入執行率分別為40.54％、34.49％、56.02％、43.34％及55.64％，另營業盈餘及事業收入將於下半年解繳市庫。</w:t>
      </w:r>
    </w:p>
    <w:p w:rsidR="00A52886" w:rsidRPr="00C70E6B" w:rsidRDefault="005E4A27" w:rsidP="005E4A27">
      <w:pPr>
        <w:pStyle w:val="affffffffb"/>
        <w:ind w:leftChars="350" w:left="1120" w:rightChars="0" w:right="0" w:hangingChars="100" w:hanging="280"/>
        <w:jc w:val="both"/>
        <w:rPr>
          <w:color w:val="000000"/>
        </w:rPr>
      </w:pPr>
      <w:r w:rsidRPr="00C70E6B">
        <w:rPr>
          <w:rFonts w:hint="eastAsia"/>
          <w:color w:val="000000"/>
        </w:rPr>
        <w:t>3.</w:t>
      </w:r>
      <w:r w:rsidR="00A52886" w:rsidRPr="00C70E6B">
        <w:rPr>
          <w:rFonts w:hint="eastAsia"/>
          <w:color w:val="000000"/>
        </w:rPr>
        <w:t>補助收入</w:t>
      </w:r>
      <w:r w:rsidR="0067199F" w:rsidRPr="00C70E6B">
        <w:rPr>
          <w:rFonts w:hint="eastAsia"/>
          <w:color w:val="000000"/>
        </w:rPr>
        <w:br/>
      </w:r>
      <w:r w:rsidR="00A52886" w:rsidRPr="00C70E6B">
        <w:rPr>
          <w:rFonts w:hint="eastAsia"/>
          <w:color w:val="000000"/>
        </w:rPr>
        <w:t>預算數</w:t>
      </w:r>
      <w:r w:rsidR="00A52886" w:rsidRPr="00C70E6B">
        <w:rPr>
          <w:color w:val="000000"/>
        </w:rPr>
        <w:t>317.32</w:t>
      </w:r>
      <w:r w:rsidR="00A52886" w:rsidRPr="00C70E6B">
        <w:rPr>
          <w:rFonts w:hint="eastAsia"/>
          <w:color w:val="000000"/>
        </w:rPr>
        <w:t>億元，實收數156.76億元，預算執行率為49.40％。</w:t>
      </w:r>
    </w:p>
    <w:p w:rsidR="00A52886" w:rsidRPr="00C70E6B" w:rsidRDefault="000F4CAC" w:rsidP="005E4A27">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二</w:t>
      </w:r>
      <w:r w:rsidRPr="00C70E6B">
        <w:rPr>
          <w:rFonts w:hint="eastAsia"/>
          <w:color w:val="000000"/>
        </w:rPr>
        <w:t>)</w:t>
      </w:r>
      <w:r w:rsidR="00A52886" w:rsidRPr="00C70E6B">
        <w:rPr>
          <w:rFonts w:hint="eastAsia"/>
          <w:color w:val="000000"/>
        </w:rPr>
        <w:t>截至10</w:t>
      </w:r>
      <w:r w:rsidR="00A52886" w:rsidRPr="00C70E6B">
        <w:rPr>
          <w:color w:val="000000"/>
        </w:rPr>
        <w:t>8</w:t>
      </w:r>
      <w:r w:rsidR="00A52886" w:rsidRPr="00C70E6B">
        <w:rPr>
          <w:rFonts w:hint="eastAsia"/>
          <w:color w:val="000000"/>
        </w:rPr>
        <w:t>年6月底止高雄市各種債務及未來給付責任情形表</w:t>
      </w:r>
    </w:p>
    <w:p w:rsidR="00A52886" w:rsidRPr="00C70E6B" w:rsidRDefault="005E4A27" w:rsidP="005E4A27">
      <w:pPr>
        <w:pStyle w:val="affffffffb"/>
        <w:spacing w:afterLines="50" w:after="180"/>
        <w:ind w:leftChars="350" w:left="1120" w:rightChars="0" w:right="0" w:hangingChars="100" w:hanging="280"/>
        <w:jc w:val="both"/>
        <w:rPr>
          <w:color w:val="000000"/>
        </w:rPr>
      </w:pPr>
      <w:r w:rsidRPr="00C70E6B">
        <w:rPr>
          <w:rFonts w:hint="eastAsia"/>
          <w:color w:val="000000"/>
        </w:rPr>
        <w:t>1.</w:t>
      </w:r>
      <w:r w:rsidR="00A52886" w:rsidRPr="00C70E6B">
        <w:rPr>
          <w:rFonts w:hint="eastAsia"/>
          <w:color w:val="000000"/>
        </w:rPr>
        <w:t>依「公共債務法」規範每月公告之債務：</w:t>
      </w:r>
      <w:r w:rsidR="00C11D58" w:rsidRPr="00C70E6B">
        <w:rPr>
          <w:rFonts w:hint="eastAsia"/>
          <w:color w:val="000000"/>
        </w:rPr>
        <w:t xml:space="preserve">  </w:t>
      </w:r>
      <w:r w:rsidR="00F3382C">
        <w:rPr>
          <w:rFonts w:hint="eastAsia"/>
          <w:color w:val="000000"/>
        </w:rPr>
        <w:t xml:space="preserve">        </w:t>
      </w:r>
      <w:r w:rsidR="00C11D58" w:rsidRPr="00C70E6B">
        <w:rPr>
          <w:rFonts w:hint="eastAsia"/>
          <w:color w:val="000000"/>
        </w:rPr>
        <w:t xml:space="preserve"> </w:t>
      </w:r>
      <w:r w:rsidR="00A52886" w:rsidRPr="00C70E6B">
        <w:rPr>
          <w:rFonts w:hint="eastAsia"/>
          <w:color w:val="000000"/>
        </w:rPr>
        <w:t>單位:億元</w:t>
      </w:r>
    </w:p>
    <w:tbl>
      <w:tblPr>
        <w:tblW w:w="7877" w:type="dxa"/>
        <w:jc w:val="center"/>
        <w:tblCellMar>
          <w:left w:w="28" w:type="dxa"/>
          <w:right w:w="28" w:type="dxa"/>
        </w:tblCellMar>
        <w:tblLook w:val="04A0" w:firstRow="1" w:lastRow="0" w:firstColumn="1" w:lastColumn="0" w:noHBand="0" w:noVBand="1"/>
      </w:tblPr>
      <w:tblGrid>
        <w:gridCol w:w="1780"/>
        <w:gridCol w:w="3209"/>
        <w:gridCol w:w="1448"/>
        <w:gridCol w:w="1440"/>
      </w:tblGrid>
      <w:tr w:rsidR="00A52886" w:rsidRPr="00C70E6B">
        <w:trPr>
          <w:trHeight w:val="339"/>
          <w:jc w:val="center"/>
        </w:trPr>
        <w:tc>
          <w:tcPr>
            <w:tcW w:w="1857" w:type="dxa"/>
            <w:tcBorders>
              <w:top w:val="single" w:sz="8" w:space="0" w:color="auto"/>
              <w:left w:val="single" w:sz="8" w:space="0" w:color="auto"/>
              <w:bottom w:val="single" w:sz="8"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債務類別</w:t>
            </w:r>
          </w:p>
        </w:tc>
        <w:tc>
          <w:tcPr>
            <w:tcW w:w="3380" w:type="dxa"/>
            <w:tcBorders>
              <w:top w:val="single" w:sz="8" w:space="0" w:color="auto"/>
              <w:left w:val="nil"/>
              <w:bottom w:val="single" w:sz="8" w:space="0" w:color="auto"/>
              <w:right w:val="nil"/>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名稱</w:t>
            </w:r>
          </w:p>
        </w:tc>
        <w:tc>
          <w:tcPr>
            <w:tcW w:w="1448" w:type="dxa"/>
            <w:tcBorders>
              <w:top w:val="single" w:sz="8" w:space="0" w:color="auto"/>
              <w:left w:val="single" w:sz="8" w:space="0" w:color="auto"/>
              <w:bottom w:val="single" w:sz="8" w:space="0" w:color="auto"/>
              <w:right w:val="single" w:sz="8"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金額</w:t>
            </w:r>
          </w:p>
        </w:tc>
        <w:tc>
          <w:tcPr>
            <w:tcW w:w="1191" w:type="dxa"/>
            <w:tcBorders>
              <w:top w:val="single" w:sz="8" w:space="0" w:color="auto"/>
              <w:left w:val="nil"/>
              <w:bottom w:val="single" w:sz="8" w:space="0" w:color="auto"/>
              <w:right w:val="single" w:sz="8" w:space="0" w:color="auto"/>
            </w:tcBorders>
            <w:shd w:val="clear" w:color="auto" w:fill="auto"/>
            <w:noWrap/>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合計</w:t>
            </w:r>
          </w:p>
        </w:tc>
      </w:tr>
      <w:tr w:rsidR="00A52886" w:rsidRPr="00C70E6B">
        <w:trPr>
          <w:trHeight w:val="285"/>
          <w:jc w:val="center"/>
        </w:trPr>
        <w:tc>
          <w:tcPr>
            <w:tcW w:w="1857" w:type="dxa"/>
            <w:vMerge w:val="restart"/>
            <w:tcBorders>
              <w:top w:val="nil"/>
              <w:left w:val="single" w:sz="8" w:space="0" w:color="auto"/>
              <w:bottom w:val="single" w:sz="4" w:space="0" w:color="000000"/>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1年以上</w:t>
            </w:r>
          </w:p>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非自償債務</w:t>
            </w:r>
          </w:p>
        </w:tc>
        <w:tc>
          <w:tcPr>
            <w:tcW w:w="3380" w:type="dxa"/>
            <w:tcBorders>
              <w:top w:val="single" w:sz="8" w:space="0" w:color="auto"/>
              <w:left w:val="nil"/>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總預算借款及公債</w:t>
            </w:r>
          </w:p>
        </w:tc>
        <w:tc>
          <w:tcPr>
            <w:tcW w:w="1448" w:type="dxa"/>
            <w:tcBorders>
              <w:top w:val="nil"/>
              <w:left w:val="single" w:sz="8" w:space="0" w:color="auto"/>
              <w:bottom w:val="single" w:sz="4" w:space="0" w:color="auto"/>
              <w:right w:val="single" w:sz="8"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2,2</w:t>
            </w:r>
            <w:r w:rsidRPr="00C70E6B">
              <w:rPr>
                <w:rFonts w:ascii="標楷體" w:eastAsia="標楷體" w:hAnsi="標楷體"/>
                <w:color w:val="000000"/>
                <w:sz w:val="28"/>
                <w:szCs w:val="28"/>
              </w:rPr>
              <w:t>55</w:t>
            </w:r>
            <w:r w:rsidRPr="00C70E6B">
              <w:rPr>
                <w:rFonts w:ascii="標楷體" w:eastAsia="標楷體" w:hAnsi="標楷體" w:hint="eastAsia"/>
                <w:color w:val="000000"/>
                <w:sz w:val="28"/>
                <w:szCs w:val="28"/>
              </w:rPr>
              <w:t>.</w:t>
            </w:r>
            <w:r w:rsidRPr="00C70E6B">
              <w:rPr>
                <w:rFonts w:ascii="標楷體" w:eastAsia="標楷體" w:hAnsi="標楷體"/>
                <w:color w:val="000000"/>
                <w:sz w:val="28"/>
                <w:szCs w:val="28"/>
              </w:rPr>
              <w:t>3</w:t>
            </w:r>
            <w:r w:rsidR="00F3382C">
              <w:rPr>
                <w:rFonts w:ascii="標楷體" w:eastAsia="標楷體" w:hAnsi="標楷體" w:hint="eastAsia"/>
                <w:color w:val="000000"/>
                <w:sz w:val="28"/>
                <w:szCs w:val="28"/>
              </w:rPr>
              <w:t>1</w:t>
            </w:r>
            <w:r w:rsidRPr="00C70E6B">
              <w:rPr>
                <w:rFonts w:ascii="標楷體" w:eastAsia="標楷體" w:hAnsi="標楷體" w:hint="eastAsia"/>
                <w:color w:val="000000"/>
                <w:sz w:val="28"/>
                <w:szCs w:val="28"/>
              </w:rPr>
              <w:t xml:space="preserve"> </w:t>
            </w:r>
          </w:p>
        </w:tc>
        <w:tc>
          <w:tcPr>
            <w:tcW w:w="1191" w:type="dxa"/>
            <w:vMerge w:val="restart"/>
            <w:tcBorders>
              <w:top w:val="nil"/>
              <w:left w:val="single" w:sz="8" w:space="0" w:color="auto"/>
              <w:bottom w:val="single" w:sz="4" w:space="0" w:color="auto"/>
              <w:right w:val="single" w:sz="8" w:space="0" w:color="auto"/>
            </w:tcBorders>
            <w:shd w:val="clear" w:color="auto" w:fill="auto"/>
            <w:noWrap/>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2,4</w:t>
            </w:r>
            <w:r w:rsidRPr="00C70E6B">
              <w:rPr>
                <w:rFonts w:ascii="標楷體" w:eastAsia="標楷體" w:hAnsi="標楷體"/>
                <w:color w:val="000000"/>
                <w:sz w:val="28"/>
                <w:szCs w:val="28"/>
              </w:rPr>
              <w:t>15</w:t>
            </w:r>
            <w:r w:rsidRPr="00C70E6B">
              <w:rPr>
                <w:rFonts w:ascii="標楷體" w:eastAsia="標楷體" w:hAnsi="標楷體" w:hint="eastAsia"/>
                <w:color w:val="000000"/>
                <w:sz w:val="28"/>
                <w:szCs w:val="28"/>
              </w:rPr>
              <w:t>.</w:t>
            </w:r>
            <w:r w:rsidRPr="00C70E6B">
              <w:rPr>
                <w:rFonts w:ascii="標楷體" w:eastAsia="標楷體" w:hAnsi="標楷體"/>
                <w:color w:val="000000"/>
                <w:sz w:val="28"/>
                <w:szCs w:val="28"/>
              </w:rPr>
              <w:t>9</w:t>
            </w:r>
            <w:r w:rsidR="00F3382C">
              <w:rPr>
                <w:rFonts w:ascii="標楷體" w:eastAsia="標楷體" w:hAnsi="標楷體" w:hint="eastAsia"/>
                <w:color w:val="000000"/>
                <w:sz w:val="28"/>
                <w:szCs w:val="28"/>
              </w:rPr>
              <w:t>8</w:t>
            </w:r>
            <w:r w:rsidRPr="00C70E6B">
              <w:rPr>
                <w:rFonts w:ascii="標楷體" w:eastAsia="標楷體" w:hAnsi="標楷體" w:hint="eastAsia"/>
                <w:color w:val="000000"/>
                <w:sz w:val="28"/>
                <w:szCs w:val="28"/>
              </w:rPr>
              <w:t xml:space="preserve"> </w:t>
            </w:r>
          </w:p>
        </w:tc>
      </w:tr>
      <w:tr w:rsidR="00A52886" w:rsidRPr="00C70E6B">
        <w:trPr>
          <w:trHeight w:val="59"/>
          <w:jc w:val="center"/>
        </w:trPr>
        <w:tc>
          <w:tcPr>
            <w:tcW w:w="1857" w:type="dxa"/>
            <w:vMerge/>
            <w:tcBorders>
              <w:top w:val="nil"/>
              <w:left w:val="single" w:sz="8" w:space="0" w:color="auto"/>
              <w:bottom w:val="single" w:sz="4" w:space="0" w:color="000000"/>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c>
          <w:tcPr>
            <w:tcW w:w="3380" w:type="dxa"/>
            <w:tcBorders>
              <w:top w:val="single" w:sz="4" w:space="0" w:color="auto"/>
              <w:left w:val="nil"/>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捷運局捷運建設基金借款</w:t>
            </w:r>
          </w:p>
        </w:tc>
        <w:tc>
          <w:tcPr>
            <w:tcW w:w="1448" w:type="dxa"/>
            <w:tcBorders>
              <w:top w:val="nil"/>
              <w:left w:val="single" w:sz="8" w:space="0" w:color="auto"/>
              <w:bottom w:val="single" w:sz="4" w:space="0" w:color="auto"/>
              <w:right w:val="single" w:sz="8"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160.67 </w:t>
            </w:r>
          </w:p>
        </w:tc>
        <w:tc>
          <w:tcPr>
            <w:tcW w:w="1191" w:type="dxa"/>
            <w:vMerge/>
            <w:tcBorders>
              <w:top w:val="nil"/>
              <w:left w:val="single" w:sz="8" w:space="0" w:color="auto"/>
              <w:bottom w:val="single" w:sz="4" w:space="0" w:color="auto"/>
              <w:right w:val="single" w:sz="8"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r>
      <w:tr w:rsidR="00A52886" w:rsidRPr="00C70E6B">
        <w:trPr>
          <w:trHeight w:val="87"/>
          <w:jc w:val="center"/>
        </w:trPr>
        <w:tc>
          <w:tcPr>
            <w:tcW w:w="1857" w:type="dxa"/>
            <w:tcBorders>
              <w:top w:val="nil"/>
              <w:left w:val="single" w:sz="8" w:space="0" w:color="auto"/>
              <w:bottom w:val="nil"/>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未滿1年債務</w:t>
            </w:r>
          </w:p>
        </w:tc>
        <w:tc>
          <w:tcPr>
            <w:tcW w:w="3380" w:type="dxa"/>
            <w:tcBorders>
              <w:top w:val="single" w:sz="4" w:space="0" w:color="auto"/>
              <w:left w:val="nil"/>
              <w:bottom w:val="nil"/>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市庫短期借款</w:t>
            </w:r>
          </w:p>
        </w:tc>
        <w:tc>
          <w:tcPr>
            <w:tcW w:w="1448" w:type="dxa"/>
            <w:tcBorders>
              <w:top w:val="nil"/>
              <w:left w:val="single" w:sz="8" w:space="0" w:color="auto"/>
              <w:bottom w:val="double" w:sz="6" w:space="0" w:color="auto"/>
              <w:right w:val="single" w:sz="8"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w:t>
            </w:r>
            <w:r w:rsidRPr="00C70E6B">
              <w:rPr>
                <w:rFonts w:ascii="標楷體" w:eastAsia="標楷體" w:hAnsi="標楷體"/>
                <w:color w:val="000000"/>
                <w:sz w:val="28"/>
                <w:szCs w:val="28"/>
              </w:rPr>
              <w:t>47.44</w:t>
            </w:r>
            <w:r w:rsidRPr="00C70E6B">
              <w:rPr>
                <w:rFonts w:ascii="標楷體" w:eastAsia="標楷體" w:hAnsi="標楷體" w:hint="eastAsia"/>
                <w:color w:val="000000"/>
                <w:sz w:val="28"/>
                <w:szCs w:val="28"/>
              </w:rPr>
              <w:t xml:space="preserve"> </w:t>
            </w:r>
          </w:p>
        </w:tc>
        <w:tc>
          <w:tcPr>
            <w:tcW w:w="1191" w:type="dxa"/>
            <w:tcBorders>
              <w:top w:val="nil"/>
              <w:left w:val="nil"/>
              <w:bottom w:val="nil"/>
              <w:right w:val="single" w:sz="8" w:space="0" w:color="auto"/>
            </w:tcBorders>
            <w:shd w:val="clear" w:color="auto" w:fill="auto"/>
            <w:noWrap/>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w:t>
            </w:r>
            <w:r w:rsidRPr="00C70E6B">
              <w:rPr>
                <w:rFonts w:ascii="標楷體" w:eastAsia="標楷體" w:hAnsi="標楷體"/>
                <w:color w:val="000000"/>
                <w:sz w:val="28"/>
                <w:szCs w:val="28"/>
              </w:rPr>
              <w:t>47.44</w:t>
            </w:r>
            <w:r w:rsidRPr="00C70E6B">
              <w:rPr>
                <w:rFonts w:ascii="標楷體" w:eastAsia="標楷體" w:hAnsi="標楷體" w:hint="eastAsia"/>
                <w:color w:val="000000"/>
                <w:sz w:val="28"/>
                <w:szCs w:val="28"/>
              </w:rPr>
              <w:t xml:space="preserve"> </w:t>
            </w:r>
          </w:p>
        </w:tc>
      </w:tr>
      <w:tr w:rsidR="00A52886" w:rsidRPr="00C70E6B">
        <w:trPr>
          <w:trHeight w:val="282"/>
          <w:jc w:val="center"/>
        </w:trPr>
        <w:tc>
          <w:tcPr>
            <w:tcW w:w="6686" w:type="dxa"/>
            <w:gridSpan w:val="3"/>
            <w:tcBorders>
              <w:top w:val="double" w:sz="6" w:space="0" w:color="auto"/>
              <w:left w:val="single" w:sz="8" w:space="0" w:color="auto"/>
              <w:bottom w:val="single" w:sz="8" w:space="0" w:color="auto"/>
              <w:right w:val="nil"/>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lastRenderedPageBreak/>
              <w:t>依「公共債務法」規範每月公告之受限債務合計</w:t>
            </w:r>
          </w:p>
        </w:tc>
        <w:tc>
          <w:tcPr>
            <w:tcW w:w="1191" w:type="dxa"/>
            <w:tcBorders>
              <w:top w:val="double" w:sz="6" w:space="0" w:color="auto"/>
              <w:left w:val="single" w:sz="8" w:space="0" w:color="auto"/>
              <w:bottom w:val="single" w:sz="8" w:space="0" w:color="auto"/>
              <w:right w:val="single" w:sz="8" w:space="0" w:color="auto"/>
            </w:tcBorders>
            <w:shd w:val="clear" w:color="auto" w:fill="auto"/>
            <w:noWrap/>
            <w:vAlign w:val="bottom"/>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2,4</w:t>
            </w:r>
            <w:r w:rsidRPr="00C70E6B">
              <w:rPr>
                <w:rFonts w:ascii="標楷體" w:eastAsia="標楷體" w:hAnsi="標楷體"/>
                <w:color w:val="000000"/>
                <w:sz w:val="28"/>
                <w:szCs w:val="28"/>
              </w:rPr>
              <w:t>63</w:t>
            </w:r>
            <w:r w:rsidRPr="00C70E6B">
              <w:rPr>
                <w:rFonts w:ascii="標楷體" w:eastAsia="標楷體" w:hAnsi="標楷體" w:hint="eastAsia"/>
                <w:color w:val="000000"/>
                <w:sz w:val="28"/>
                <w:szCs w:val="28"/>
              </w:rPr>
              <w:t>.</w:t>
            </w:r>
            <w:r w:rsidRPr="00C70E6B">
              <w:rPr>
                <w:rFonts w:ascii="標楷體" w:eastAsia="標楷體" w:hAnsi="標楷體"/>
                <w:color w:val="000000"/>
                <w:sz w:val="28"/>
                <w:szCs w:val="28"/>
              </w:rPr>
              <w:t>4</w:t>
            </w:r>
            <w:r w:rsidR="00F3382C">
              <w:rPr>
                <w:rFonts w:ascii="標楷體" w:eastAsia="標楷體" w:hAnsi="標楷體" w:hint="eastAsia"/>
                <w:color w:val="000000"/>
                <w:sz w:val="28"/>
                <w:szCs w:val="28"/>
              </w:rPr>
              <w:t>2</w:t>
            </w:r>
            <w:r w:rsidRPr="00C70E6B">
              <w:rPr>
                <w:rFonts w:ascii="標楷體" w:eastAsia="標楷體" w:hAnsi="標楷體" w:hint="eastAsia"/>
                <w:color w:val="000000"/>
                <w:sz w:val="28"/>
                <w:szCs w:val="28"/>
              </w:rPr>
              <w:t xml:space="preserve"> </w:t>
            </w:r>
          </w:p>
        </w:tc>
      </w:tr>
    </w:tbl>
    <w:p w:rsidR="00A52886" w:rsidRPr="00C70E6B" w:rsidRDefault="00A52886" w:rsidP="00C11D58">
      <w:pPr>
        <w:pStyle w:val="affffffffb"/>
        <w:spacing w:afterLines="50" w:after="180"/>
        <w:ind w:leftChars="466" w:left="1118" w:rightChars="0" w:right="0"/>
        <w:jc w:val="both"/>
        <w:rPr>
          <w:color w:val="000000"/>
        </w:rPr>
      </w:pPr>
      <w:r w:rsidRPr="00C70E6B">
        <w:rPr>
          <w:rFonts w:hint="eastAsia"/>
          <w:color w:val="000000"/>
        </w:rPr>
        <w:t>註:各縣市依財政部規定公告之受限債務。</w:t>
      </w:r>
    </w:p>
    <w:p w:rsidR="00A52886" w:rsidRPr="00C70E6B" w:rsidRDefault="00C11D58" w:rsidP="00C11D58">
      <w:pPr>
        <w:pStyle w:val="affffffffb"/>
        <w:spacing w:afterLines="50" w:after="180"/>
        <w:ind w:leftChars="350" w:left="1120" w:rightChars="0" w:right="0" w:hangingChars="100" w:hanging="280"/>
        <w:jc w:val="both"/>
        <w:rPr>
          <w:color w:val="000000"/>
        </w:rPr>
      </w:pPr>
      <w:r w:rsidRPr="00C70E6B">
        <w:rPr>
          <w:rFonts w:hint="eastAsia"/>
          <w:color w:val="000000"/>
        </w:rPr>
        <w:t>2.</w:t>
      </w:r>
      <w:r w:rsidR="00A52886" w:rsidRPr="00C70E6B">
        <w:rPr>
          <w:rFonts w:hint="eastAsia"/>
          <w:color w:val="000000"/>
        </w:rPr>
        <w:t>依財政部規定公告之非營業特種基金「自償性」債務：單位:億元</w:t>
      </w:r>
    </w:p>
    <w:tbl>
      <w:tblPr>
        <w:tblW w:w="7807" w:type="dxa"/>
        <w:jc w:val="center"/>
        <w:tblCellMar>
          <w:left w:w="28" w:type="dxa"/>
          <w:right w:w="28" w:type="dxa"/>
        </w:tblCellMar>
        <w:tblLook w:val="04A0" w:firstRow="1" w:lastRow="0" w:firstColumn="1" w:lastColumn="0" w:noHBand="0" w:noVBand="1"/>
      </w:tblPr>
      <w:tblGrid>
        <w:gridCol w:w="1844"/>
        <w:gridCol w:w="3261"/>
        <w:gridCol w:w="1542"/>
        <w:gridCol w:w="1160"/>
      </w:tblGrid>
      <w:tr w:rsidR="00A52886" w:rsidRPr="00C70E6B">
        <w:trPr>
          <w:trHeight w:val="349"/>
          <w:jc w:val="center"/>
        </w:trPr>
        <w:tc>
          <w:tcPr>
            <w:tcW w:w="1845" w:type="dxa"/>
            <w:tcBorders>
              <w:top w:val="single" w:sz="8" w:space="0" w:color="auto"/>
              <w:left w:val="single" w:sz="8" w:space="0" w:color="auto"/>
              <w:bottom w:val="single" w:sz="8"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債務類別</w:t>
            </w:r>
          </w:p>
        </w:tc>
        <w:tc>
          <w:tcPr>
            <w:tcW w:w="3263" w:type="dxa"/>
            <w:tcBorders>
              <w:top w:val="single" w:sz="8" w:space="0" w:color="auto"/>
              <w:left w:val="nil"/>
              <w:bottom w:val="single" w:sz="8" w:space="0" w:color="auto"/>
              <w:right w:val="nil"/>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名稱</w:t>
            </w:r>
          </w:p>
        </w:tc>
        <w:tc>
          <w:tcPr>
            <w:tcW w:w="1542" w:type="dxa"/>
            <w:tcBorders>
              <w:top w:val="single" w:sz="8" w:space="0" w:color="auto"/>
              <w:left w:val="single" w:sz="8" w:space="0" w:color="auto"/>
              <w:bottom w:val="single" w:sz="8" w:space="0" w:color="auto"/>
              <w:right w:val="single" w:sz="8"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金額</w:t>
            </w:r>
          </w:p>
        </w:tc>
        <w:tc>
          <w:tcPr>
            <w:tcW w:w="1155" w:type="dxa"/>
            <w:tcBorders>
              <w:top w:val="single" w:sz="8" w:space="0" w:color="auto"/>
              <w:left w:val="nil"/>
              <w:bottom w:val="single" w:sz="8" w:space="0" w:color="auto"/>
              <w:right w:val="single" w:sz="8" w:space="0" w:color="auto"/>
            </w:tcBorders>
            <w:shd w:val="clear" w:color="auto" w:fill="auto"/>
            <w:noWrap/>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合計</w:t>
            </w:r>
          </w:p>
        </w:tc>
      </w:tr>
      <w:tr w:rsidR="00A52886" w:rsidRPr="00C70E6B">
        <w:trPr>
          <w:trHeight w:val="284"/>
          <w:jc w:val="center"/>
        </w:trPr>
        <w:tc>
          <w:tcPr>
            <w:tcW w:w="1845" w:type="dxa"/>
            <w:vMerge w:val="restart"/>
            <w:tcBorders>
              <w:top w:val="nil"/>
              <w:left w:val="single" w:sz="8" w:space="0" w:color="auto"/>
              <w:bottom w:val="single" w:sz="8" w:space="0" w:color="000000"/>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自償性債務</w:t>
            </w:r>
          </w:p>
        </w:tc>
        <w:tc>
          <w:tcPr>
            <w:tcW w:w="3263" w:type="dxa"/>
            <w:tcBorders>
              <w:top w:val="nil"/>
              <w:left w:val="nil"/>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高坪特定區開發計畫</w:t>
            </w:r>
          </w:p>
        </w:tc>
        <w:tc>
          <w:tcPr>
            <w:tcW w:w="1542" w:type="dxa"/>
            <w:tcBorders>
              <w:top w:val="nil"/>
              <w:left w:val="nil"/>
              <w:bottom w:val="single" w:sz="4" w:space="0" w:color="auto"/>
              <w:right w:val="nil"/>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28.70 </w:t>
            </w:r>
          </w:p>
        </w:tc>
        <w:tc>
          <w:tcPr>
            <w:tcW w:w="1155" w:type="dxa"/>
            <w:vMerge w:val="restart"/>
            <w:tcBorders>
              <w:top w:val="nil"/>
              <w:left w:val="single" w:sz="8" w:space="0" w:color="auto"/>
              <w:bottom w:val="single" w:sz="8" w:space="0" w:color="000000"/>
              <w:right w:val="single" w:sz="8" w:space="0" w:color="auto"/>
            </w:tcBorders>
            <w:shd w:val="clear" w:color="auto" w:fill="auto"/>
            <w:noWrap/>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29</w:t>
            </w:r>
            <w:r w:rsidRPr="00C70E6B">
              <w:rPr>
                <w:rFonts w:ascii="標楷體" w:eastAsia="標楷體" w:hAnsi="標楷體"/>
                <w:color w:val="000000"/>
                <w:sz w:val="28"/>
                <w:szCs w:val="28"/>
              </w:rPr>
              <w:t>4.76</w:t>
            </w:r>
            <w:r w:rsidRPr="00C70E6B">
              <w:rPr>
                <w:rFonts w:ascii="標楷體" w:eastAsia="標楷體" w:hAnsi="標楷體" w:hint="eastAsia"/>
                <w:color w:val="000000"/>
                <w:sz w:val="28"/>
                <w:szCs w:val="28"/>
              </w:rPr>
              <w:t xml:space="preserve"> </w:t>
            </w:r>
          </w:p>
        </w:tc>
      </w:tr>
      <w:tr w:rsidR="00A52886" w:rsidRPr="00C70E6B">
        <w:trPr>
          <w:trHeight w:val="157"/>
          <w:jc w:val="center"/>
        </w:trPr>
        <w:tc>
          <w:tcPr>
            <w:tcW w:w="1845" w:type="dxa"/>
            <w:vMerge/>
            <w:tcBorders>
              <w:top w:val="nil"/>
              <w:left w:val="single" w:sz="8" w:space="0" w:color="auto"/>
              <w:bottom w:val="single" w:sz="8" w:space="0" w:color="000000"/>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c>
          <w:tcPr>
            <w:tcW w:w="3263" w:type="dxa"/>
            <w:tcBorders>
              <w:top w:val="nil"/>
              <w:left w:val="nil"/>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住宅基金</w:t>
            </w:r>
          </w:p>
        </w:tc>
        <w:tc>
          <w:tcPr>
            <w:tcW w:w="1542" w:type="dxa"/>
            <w:tcBorders>
              <w:top w:val="nil"/>
              <w:left w:val="nil"/>
              <w:bottom w:val="single" w:sz="4" w:space="0" w:color="auto"/>
              <w:right w:val="nil"/>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18.50 </w:t>
            </w:r>
          </w:p>
        </w:tc>
        <w:tc>
          <w:tcPr>
            <w:tcW w:w="1155" w:type="dxa"/>
            <w:vMerge/>
            <w:tcBorders>
              <w:top w:val="nil"/>
              <w:left w:val="single" w:sz="8" w:space="0" w:color="auto"/>
              <w:bottom w:val="single" w:sz="8" w:space="0" w:color="000000"/>
              <w:right w:val="single" w:sz="8"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r>
      <w:tr w:rsidR="00A52886" w:rsidRPr="00C70E6B">
        <w:trPr>
          <w:trHeight w:val="175"/>
          <w:jc w:val="center"/>
        </w:trPr>
        <w:tc>
          <w:tcPr>
            <w:tcW w:w="1845" w:type="dxa"/>
            <w:vMerge/>
            <w:tcBorders>
              <w:top w:val="nil"/>
              <w:left w:val="single" w:sz="8" w:space="0" w:color="auto"/>
              <w:bottom w:val="single" w:sz="8" w:space="0" w:color="000000"/>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c>
          <w:tcPr>
            <w:tcW w:w="3263" w:type="dxa"/>
            <w:tcBorders>
              <w:top w:val="nil"/>
              <w:left w:val="nil"/>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公教輔購住宅基金</w:t>
            </w:r>
          </w:p>
        </w:tc>
        <w:tc>
          <w:tcPr>
            <w:tcW w:w="1542" w:type="dxa"/>
            <w:tcBorders>
              <w:top w:val="nil"/>
              <w:left w:val="nil"/>
              <w:bottom w:val="single" w:sz="4" w:space="0" w:color="auto"/>
              <w:right w:val="nil"/>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0.</w:t>
            </w:r>
            <w:r w:rsidRPr="00C70E6B">
              <w:rPr>
                <w:rFonts w:ascii="標楷體" w:eastAsia="標楷體" w:hAnsi="標楷體"/>
                <w:color w:val="000000"/>
                <w:sz w:val="28"/>
                <w:szCs w:val="28"/>
              </w:rPr>
              <w:t>19</w:t>
            </w:r>
            <w:r w:rsidRPr="00C70E6B">
              <w:rPr>
                <w:rFonts w:ascii="標楷體" w:eastAsia="標楷體" w:hAnsi="標楷體" w:hint="eastAsia"/>
                <w:color w:val="000000"/>
                <w:sz w:val="28"/>
                <w:szCs w:val="28"/>
              </w:rPr>
              <w:t xml:space="preserve"> </w:t>
            </w:r>
          </w:p>
        </w:tc>
        <w:tc>
          <w:tcPr>
            <w:tcW w:w="1155" w:type="dxa"/>
            <w:vMerge/>
            <w:tcBorders>
              <w:top w:val="nil"/>
              <w:left w:val="single" w:sz="8" w:space="0" w:color="auto"/>
              <w:bottom w:val="single" w:sz="8" w:space="0" w:color="000000"/>
              <w:right w:val="single" w:sz="8"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r>
      <w:tr w:rsidR="00A52886" w:rsidRPr="00C70E6B">
        <w:trPr>
          <w:trHeight w:val="175"/>
          <w:jc w:val="center"/>
        </w:trPr>
        <w:tc>
          <w:tcPr>
            <w:tcW w:w="1845" w:type="dxa"/>
            <w:vMerge/>
            <w:tcBorders>
              <w:top w:val="nil"/>
              <w:left w:val="single" w:sz="8" w:space="0" w:color="auto"/>
              <w:bottom w:val="single" w:sz="8" w:space="0" w:color="000000"/>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c>
          <w:tcPr>
            <w:tcW w:w="3263" w:type="dxa"/>
            <w:tcBorders>
              <w:top w:val="nil"/>
              <w:left w:val="nil"/>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大眾捷運土地開發基金</w:t>
            </w:r>
          </w:p>
        </w:tc>
        <w:tc>
          <w:tcPr>
            <w:tcW w:w="1542" w:type="dxa"/>
            <w:tcBorders>
              <w:top w:val="nil"/>
              <w:left w:val="nil"/>
              <w:bottom w:val="single" w:sz="4" w:space="0" w:color="auto"/>
              <w:right w:val="nil"/>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20</w:t>
            </w:r>
            <w:r w:rsidRPr="00C70E6B">
              <w:rPr>
                <w:rFonts w:ascii="標楷體" w:eastAsia="標楷體" w:hAnsi="標楷體"/>
                <w:color w:val="000000"/>
                <w:sz w:val="28"/>
                <w:szCs w:val="28"/>
              </w:rPr>
              <w:t>6</w:t>
            </w:r>
            <w:r w:rsidRPr="00C70E6B">
              <w:rPr>
                <w:rFonts w:ascii="標楷體" w:eastAsia="標楷體" w:hAnsi="標楷體" w:hint="eastAsia"/>
                <w:color w:val="000000"/>
                <w:sz w:val="28"/>
                <w:szCs w:val="28"/>
              </w:rPr>
              <w:t>.</w:t>
            </w:r>
            <w:r w:rsidRPr="00C70E6B">
              <w:rPr>
                <w:rFonts w:ascii="標楷體" w:eastAsia="標楷體" w:hAnsi="標楷體"/>
                <w:color w:val="000000"/>
                <w:sz w:val="28"/>
                <w:szCs w:val="28"/>
              </w:rPr>
              <w:t>85</w:t>
            </w:r>
            <w:r w:rsidRPr="00C70E6B">
              <w:rPr>
                <w:rFonts w:ascii="標楷體" w:eastAsia="標楷體" w:hAnsi="標楷體" w:hint="eastAsia"/>
                <w:color w:val="000000"/>
                <w:sz w:val="28"/>
                <w:szCs w:val="28"/>
              </w:rPr>
              <w:t xml:space="preserve"> </w:t>
            </w:r>
          </w:p>
        </w:tc>
        <w:tc>
          <w:tcPr>
            <w:tcW w:w="1155" w:type="dxa"/>
            <w:vMerge/>
            <w:tcBorders>
              <w:top w:val="nil"/>
              <w:left w:val="single" w:sz="8" w:space="0" w:color="auto"/>
              <w:bottom w:val="single" w:sz="8" w:space="0" w:color="000000"/>
              <w:right w:val="single" w:sz="8"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r>
      <w:tr w:rsidR="00A52886" w:rsidRPr="00C70E6B">
        <w:trPr>
          <w:trHeight w:val="175"/>
          <w:jc w:val="center"/>
        </w:trPr>
        <w:tc>
          <w:tcPr>
            <w:tcW w:w="1845" w:type="dxa"/>
            <w:vMerge/>
            <w:tcBorders>
              <w:top w:val="nil"/>
              <w:left w:val="single" w:sz="8" w:space="0" w:color="auto"/>
              <w:bottom w:val="single" w:sz="8" w:space="0" w:color="000000"/>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c>
          <w:tcPr>
            <w:tcW w:w="3263" w:type="dxa"/>
            <w:tcBorders>
              <w:top w:val="nil"/>
              <w:left w:val="nil"/>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產業園區開發管理基金</w:t>
            </w:r>
          </w:p>
        </w:tc>
        <w:tc>
          <w:tcPr>
            <w:tcW w:w="1542" w:type="dxa"/>
            <w:tcBorders>
              <w:top w:val="nil"/>
              <w:left w:val="nil"/>
              <w:bottom w:val="single" w:sz="4" w:space="0" w:color="auto"/>
              <w:right w:val="nil"/>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35.12 </w:t>
            </w:r>
          </w:p>
        </w:tc>
        <w:tc>
          <w:tcPr>
            <w:tcW w:w="1155" w:type="dxa"/>
            <w:vMerge/>
            <w:tcBorders>
              <w:top w:val="nil"/>
              <w:left w:val="single" w:sz="8" w:space="0" w:color="auto"/>
              <w:bottom w:val="single" w:sz="8" w:space="0" w:color="000000"/>
              <w:right w:val="single" w:sz="8"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r>
      <w:tr w:rsidR="00A52886" w:rsidRPr="00C70E6B">
        <w:trPr>
          <w:trHeight w:val="363"/>
          <w:jc w:val="center"/>
        </w:trPr>
        <w:tc>
          <w:tcPr>
            <w:tcW w:w="1845" w:type="dxa"/>
            <w:vMerge/>
            <w:tcBorders>
              <w:top w:val="nil"/>
              <w:left w:val="single" w:sz="8" w:space="0" w:color="auto"/>
              <w:bottom w:val="single" w:sz="8" w:space="0" w:color="000000"/>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c>
          <w:tcPr>
            <w:tcW w:w="3263" w:type="dxa"/>
            <w:tcBorders>
              <w:top w:val="nil"/>
              <w:left w:val="nil"/>
              <w:bottom w:val="single" w:sz="8"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市有財產開發基金</w:t>
            </w:r>
          </w:p>
        </w:tc>
        <w:tc>
          <w:tcPr>
            <w:tcW w:w="1542" w:type="dxa"/>
            <w:tcBorders>
              <w:top w:val="nil"/>
              <w:left w:val="nil"/>
              <w:bottom w:val="single" w:sz="8" w:space="0" w:color="auto"/>
              <w:right w:val="nil"/>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5.</w:t>
            </w:r>
            <w:r w:rsidRPr="00C70E6B">
              <w:rPr>
                <w:rFonts w:ascii="標楷體" w:eastAsia="標楷體" w:hAnsi="標楷體"/>
                <w:color w:val="000000"/>
                <w:sz w:val="28"/>
                <w:szCs w:val="28"/>
              </w:rPr>
              <w:t>4</w:t>
            </w:r>
            <w:r w:rsidRPr="00C70E6B">
              <w:rPr>
                <w:rFonts w:ascii="標楷體" w:eastAsia="標楷體" w:hAnsi="標楷體" w:hint="eastAsia"/>
                <w:color w:val="000000"/>
                <w:sz w:val="28"/>
                <w:szCs w:val="28"/>
              </w:rPr>
              <w:t xml:space="preserve">0 </w:t>
            </w:r>
          </w:p>
        </w:tc>
        <w:tc>
          <w:tcPr>
            <w:tcW w:w="1155" w:type="dxa"/>
            <w:vMerge/>
            <w:tcBorders>
              <w:top w:val="nil"/>
              <w:left w:val="single" w:sz="8" w:space="0" w:color="auto"/>
              <w:bottom w:val="single" w:sz="8" w:space="0" w:color="000000"/>
              <w:right w:val="single" w:sz="8"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r>
      <w:tr w:rsidR="00A52886" w:rsidRPr="00C70E6B">
        <w:trPr>
          <w:trHeight w:val="48"/>
          <w:jc w:val="center"/>
        </w:trPr>
        <w:tc>
          <w:tcPr>
            <w:tcW w:w="7807" w:type="dxa"/>
            <w:gridSpan w:val="4"/>
            <w:tcBorders>
              <w:top w:val="single" w:sz="8" w:space="0" w:color="auto"/>
              <w:left w:val="nil"/>
              <w:bottom w:val="nil"/>
              <w:right w:val="nil"/>
            </w:tcBorders>
            <w:shd w:val="clear" w:color="auto" w:fill="auto"/>
            <w:vAlign w:val="center"/>
          </w:tcPr>
          <w:p w:rsidR="00A52886" w:rsidRPr="00C70E6B" w:rsidRDefault="00A52886" w:rsidP="00C11D58">
            <w:pPr>
              <w:pStyle w:val="affffffffb"/>
              <w:spacing w:afterLines="50" w:after="180"/>
              <w:ind w:leftChars="0" w:left="0" w:rightChars="0" w:right="0"/>
              <w:jc w:val="both"/>
              <w:rPr>
                <w:color w:val="000000"/>
              </w:rPr>
            </w:pPr>
            <w:r w:rsidRPr="00C70E6B">
              <w:rPr>
                <w:rFonts w:hint="eastAsia"/>
                <w:color w:val="000000"/>
              </w:rPr>
              <w:t>註:自償性債務係指將來有特定財源可供償還。</w:t>
            </w:r>
          </w:p>
        </w:tc>
      </w:tr>
    </w:tbl>
    <w:p w:rsidR="00A52886" w:rsidRPr="00C70E6B" w:rsidRDefault="00C11D58" w:rsidP="00C11D58">
      <w:pPr>
        <w:pStyle w:val="affffffffb"/>
        <w:spacing w:afterLines="50" w:after="180"/>
        <w:ind w:leftChars="350" w:left="1120" w:rightChars="0" w:right="0" w:hangingChars="100" w:hanging="280"/>
        <w:jc w:val="both"/>
        <w:rPr>
          <w:color w:val="000000"/>
        </w:rPr>
      </w:pPr>
      <w:r w:rsidRPr="00C70E6B">
        <w:rPr>
          <w:rFonts w:hint="eastAsia"/>
          <w:color w:val="000000"/>
        </w:rPr>
        <w:t>3.</w:t>
      </w:r>
      <w:r w:rsidR="00A52886" w:rsidRPr="00C70E6B">
        <w:rPr>
          <w:rFonts w:hint="eastAsia"/>
          <w:color w:val="000000"/>
        </w:rPr>
        <w:t>營業基金與清理基金借款：</w:t>
      </w:r>
      <w:r w:rsidR="00F3382C">
        <w:rPr>
          <w:rFonts w:hint="eastAsia"/>
          <w:color w:val="000000"/>
        </w:rPr>
        <w:t xml:space="preserve">                       </w:t>
      </w:r>
      <w:r w:rsidR="00A52886" w:rsidRPr="00C70E6B">
        <w:rPr>
          <w:rFonts w:hint="eastAsia"/>
          <w:color w:val="000000"/>
        </w:rPr>
        <w:t>單位:億元</w:t>
      </w:r>
    </w:p>
    <w:tbl>
      <w:tblPr>
        <w:tblW w:w="7796" w:type="dxa"/>
        <w:tblInd w:w="1304" w:type="dxa"/>
        <w:tblCellMar>
          <w:left w:w="28" w:type="dxa"/>
          <w:right w:w="28" w:type="dxa"/>
        </w:tblCellMar>
        <w:tblLook w:val="04A0" w:firstRow="1" w:lastRow="0" w:firstColumn="1" w:lastColumn="0" w:noHBand="0" w:noVBand="1"/>
      </w:tblPr>
      <w:tblGrid>
        <w:gridCol w:w="1821"/>
        <w:gridCol w:w="3212"/>
        <w:gridCol w:w="1603"/>
        <w:gridCol w:w="1160"/>
      </w:tblGrid>
      <w:tr w:rsidR="00A52886" w:rsidRPr="00C70E6B">
        <w:trPr>
          <w:trHeight w:val="31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債務類別</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名稱</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金額</w:t>
            </w:r>
          </w:p>
        </w:tc>
        <w:tc>
          <w:tcPr>
            <w:tcW w:w="1082" w:type="dxa"/>
            <w:tcBorders>
              <w:top w:val="single" w:sz="8" w:space="0" w:color="auto"/>
              <w:left w:val="single" w:sz="4" w:space="0" w:color="auto"/>
              <w:bottom w:val="single" w:sz="4" w:space="0" w:color="auto"/>
              <w:right w:val="single" w:sz="8" w:space="0" w:color="auto"/>
            </w:tcBorders>
            <w:shd w:val="clear" w:color="auto" w:fill="auto"/>
            <w:noWrap/>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合計</w:t>
            </w:r>
          </w:p>
        </w:tc>
      </w:tr>
      <w:tr w:rsidR="00A52886" w:rsidRPr="00C70E6B">
        <w:trPr>
          <w:trHeight w:val="459"/>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營業基金</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輪船公司營業基金</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6.40 </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20</w:t>
            </w:r>
            <w:r w:rsidRPr="00C70E6B">
              <w:rPr>
                <w:rFonts w:ascii="標楷體" w:eastAsia="標楷體" w:hAnsi="標楷體"/>
                <w:color w:val="000000"/>
                <w:sz w:val="28"/>
                <w:szCs w:val="28"/>
              </w:rPr>
              <w:t>6</w:t>
            </w:r>
            <w:r w:rsidRPr="00C70E6B">
              <w:rPr>
                <w:rFonts w:ascii="標楷體" w:eastAsia="標楷體" w:hAnsi="標楷體" w:hint="eastAsia"/>
                <w:color w:val="000000"/>
                <w:sz w:val="28"/>
                <w:szCs w:val="28"/>
              </w:rPr>
              <w:t>.</w:t>
            </w:r>
            <w:r w:rsidRPr="00C70E6B">
              <w:rPr>
                <w:rFonts w:ascii="標楷體" w:eastAsia="標楷體" w:hAnsi="標楷體"/>
                <w:color w:val="000000"/>
                <w:sz w:val="28"/>
                <w:szCs w:val="28"/>
              </w:rPr>
              <w:t>43</w:t>
            </w:r>
            <w:r w:rsidRPr="00C70E6B">
              <w:rPr>
                <w:rFonts w:ascii="標楷體" w:eastAsia="標楷體" w:hAnsi="標楷體" w:hint="eastAsia"/>
                <w:color w:val="000000"/>
                <w:sz w:val="28"/>
                <w:szCs w:val="28"/>
              </w:rPr>
              <w:t xml:space="preserve"> </w:t>
            </w:r>
          </w:p>
        </w:tc>
      </w:tr>
      <w:tr w:rsidR="00A52886" w:rsidRPr="00C70E6B">
        <w:trPr>
          <w:trHeight w:val="453"/>
        </w:trPr>
        <w:tc>
          <w:tcPr>
            <w:tcW w:w="1843" w:type="dxa"/>
            <w:vMerge/>
            <w:tcBorders>
              <w:top w:val="single" w:sz="4" w:space="0" w:color="auto"/>
              <w:left w:val="single" w:sz="4" w:space="0" w:color="auto"/>
              <w:bottom w:val="single" w:sz="4" w:space="0" w:color="auto"/>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動產質借所營業基金</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w:t>
            </w:r>
            <w:r w:rsidRPr="00C70E6B">
              <w:rPr>
                <w:rFonts w:ascii="標楷體" w:eastAsia="標楷體" w:hAnsi="標楷體"/>
                <w:color w:val="000000"/>
                <w:sz w:val="28"/>
                <w:szCs w:val="28"/>
              </w:rPr>
              <w:t>0.78</w:t>
            </w:r>
            <w:r w:rsidRPr="00C70E6B">
              <w:rPr>
                <w:rFonts w:ascii="標楷體" w:eastAsia="標楷體" w:hAnsi="標楷體" w:hint="eastAsia"/>
                <w:color w:val="000000"/>
                <w:sz w:val="28"/>
                <w:szCs w:val="28"/>
              </w:rPr>
              <w:t xml:space="preserve"> </w:t>
            </w:r>
          </w:p>
        </w:tc>
        <w:tc>
          <w:tcPr>
            <w:tcW w:w="1082" w:type="dxa"/>
            <w:vMerge/>
            <w:tcBorders>
              <w:top w:val="single" w:sz="4" w:space="0" w:color="auto"/>
              <w:left w:val="single" w:sz="4" w:space="0" w:color="auto"/>
              <w:bottom w:val="single" w:sz="4" w:space="0" w:color="auto"/>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r>
      <w:tr w:rsidR="00A52886" w:rsidRPr="00C70E6B">
        <w:trPr>
          <w:trHeight w:val="41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清理基金</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公車處清理基金</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 xml:space="preserve">       199.25</w:t>
            </w:r>
          </w:p>
        </w:tc>
        <w:tc>
          <w:tcPr>
            <w:tcW w:w="1082" w:type="dxa"/>
            <w:vMerge/>
            <w:tcBorders>
              <w:top w:val="single" w:sz="4" w:space="0" w:color="auto"/>
              <w:left w:val="single" w:sz="4" w:space="0" w:color="auto"/>
              <w:bottom w:val="single" w:sz="4" w:space="0" w:color="auto"/>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r>
      <w:tr w:rsidR="00A52886" w:rsidRPr="00C70E6B">
        <w:trPr>
          <w:trHeight w:val="1128"/>
        </w:trPr>
        <w:tc>
          <w:tcPr>
            <w:tcW w:w="7796" w:type="dxa"/>
            <w:gridSpan w:val="4"/>
            <w:tcBorders>
              <w:left w:val="nil"/>
              <w:bottom w:val="nil"/>
              <w:right w:val="nil"/>
            </w:tcBorders>
            <w:shd w:val="clear" w:color="auto" w:fill="auto"/>
            <w:vAlign w:val="center"/>
          </w:tcPr>
          <w:p w:rsidR="00A52886" w:rsidRPr="00C70E6B" w:rsidRDefault="00A52886" w:rsidP="00C11D58">
            <w:pPr>
              <w:pStyle w:val="affffffffb"/>
              <w:spacing w:afterLines="50" w:after="180"/>
              <w:ind w:leftChars="0" w:left="0" w:rightChars="0" w:right="0"/>
              <w:jc w:val="both"/>
              <w:rPr>
                <w:color w:val="000000"/>
              </w:rPr>
            </w:pPr>
            <w:r w:rsidRPr="00C70E6B">
              <w:rPr>
                <w:rFonts w:hint="eastAsia"/>
                <w:color w:val="000000"/>
              </w:rPr>
              <w:t>註:動產質借所營業基金有營業累積盈餘，舉借透支借款係為營業周轉之用；另公車處清理基金於103年已編列50年債務清理計畫送經議會審議通過｡</w:t>
            </w:r>
          </w:p>
        </w:tc>
      </w:tr>
    </w:tbl>
    <w:p w:rsidR="00A52886" w:rsidRPr="00C70E6B" w:rsidRDefault="00C11D58" w:rsidP="00C11D58">
      <w:pPr>
        <w:pStyle w:val="affffffffb"/>
        <w:spacing w:afterLines="50" w:after="180"/>
        <w:ind w:leftChars="350" w:left="1120" w:rightChars="0" w:right="0" w:hangingChars="100" w:hanging="280"/>
        <w:jc w:val="both"/>
        <w:rPr>
          <w:color w:val="000000"/>
        </w:rPr>
      </w:pPr>
      <w:r w:rsidRPr="00C70E6B">
        <w:rPr>
          <w:rFonts w:hint="eastAsia"/>
          <w:color w:val="000000"/>
        </w:rPr>
        <w:t>4.</w:t>
      </w:r>
      <w:r w:rsidR="00A52886" w:rsidRPr="00C70E6B">
        <w:rPr>
          <w:rFonts w:hint="eastAsia"/>
          <w:color w:val="000000"/>
        </w:rPr>
        <w:t>依審計處審核報告揭露事項：單位:億元</w:t>
      </w:r>
    </w:p>
    <w:tbl>
      <w:tblPr>
        <w:tblW w:w="7796" w:type="dxa"/>
        <w:tblInd w:w="1304" w:type="dxa"/>
        <w:tblCellMar>
          <w:left w:w="28" w:type="dxa"/>
          <w:right w:w="28" w:type="dxa"/>
        </w:tblCellMar>
        <w:tblLook w:val="04A0" w:firstRow="1" w:lastRow="0" w:firstColumn="1" w:lastColumn="0" w:noHBand="0" w:noVBand="1"/>
      </w:tblPr>
      <w:tblGrid>
        <w:gridCol w:w="1821"/>
        <w:gridCol w:w="3212"/>
        <w:gridCol w:w="1603"/>
        <w:gridCol w:w="1160"/>
      </w:tblGrid>
      <w:tr w:rsidR="00A52886" w:rsidRPr="00C70E6B">
        <w:trPr>
          <w:trHeight w:val="600"/>
        </w:trPr>
        <w:tc>
          <w:tcPr>
            <w:tcW w:w="1843" w:type="dxa"/>
            <w:tcBorders>
              <w:top w:val="single" w:sz="8" w:space="0" w:color="auto"/>
              <w:left w:val="single" w:sz="8" w:space="0" w:color="auto"/>
              <w:bottom w:val="single" w:sz="4" w:space="0" w:color="auto"/>
              <w:right w:val="single" w:sz="8"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名稱</w:t>
            </w:r>
          </w:p>
        </w:tc>
        <w:tc>
          <w:tcPr>
            <w:tcW w:w="3260" w:type="dxa"/>
            <w:tcBorders>
              <w:top w:val="single" w:sz="8" w:space="0" w:color="auto"/>
              <w:left w:val="nil"/>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項目</w:t>
            </w:r>
          </w:p>
        </w:tc>
        <w:tc>
          <w:tcPr>
            <w:tcW w:w="1611" w:type="dxa"/>
            <w:tcBorders>
              <w:top w:val="single" w:sz="8" w:space="0" w:color="auto"/>
              <w:left w:val="single" w:sz="8" w:space="0" w:color="auto"/>
              <w:bottom w:val="single" w:sz="4" w:space="0" w:color="auto"/>
              <w:right w:val="single" w:sz="8"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金額</w:t>
            </w:r>
          </w:p>
        </w:tc>
        <w:tc>
          <w:tcPr>
            <w:tcW w:w="1082" w:type="dxa"/>
            <w:tcBorders>
              <w:top w:val="single" w:sz="8" w:space="0" w:color="auto"/>
              <w:left w:val="nil"/>
              <w:bottom w:val="nil"/>
              <w:right w:val="single" w:sz="8" w:space="0" w:color="auto"/>
            </w:tcBorders>
            <w:shd w:val="clear" w:color="auto" w:fill="auto"/>
            <w:noWrap/>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合計</w:t>
            </w:r>
          </w:p>
        </w:tc>
      </w:tr>
      <w:tr w:rsidR="00A52886" w:rsidRPr="00C70E6B">
        <w:trPr>
          <w:trHeight w:val="483"/>
        </w:trPr>
        <w:tc>
          <w:tcPr>
            <w:tcW w:w="1843" w:type="dxa"/>
            <w:vMerge w:val="restart"/>
            <w:tcBorders>
              <w:top w:val="nil"/>
              <w:left w:val="single" w:sz="8"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未來給付責任</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積欠全民健康保險費</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10</w:t>
            </w:r>
            <w:r w:rsidRPr="00C70E6B">
              <w:rPr>
                <w:rFonts w:ascii="標楷體" w:eastAsia="標楷體" w:hAnsi="標楷體"/>
                <w:color w:val="000000"/>
                <w:sz w:val="28"/>
                <w:szCs w:val="28"/>
              </w:rPr>
              <w:t>9</w:t>
            </w:r>
            <w:r w:rsidRPr="00C70E6B">
              <w:rPr>
                <w:rFonts w:ascii="標楷體" w:eastAsia="標楷體" w:hAnsi="標楷體" w:hint="eastAsia"/>
                <w:color w:val="000000"/>
                <w:sz w:val="28"/>
                <w:szCs w:val="28"/>
              </w:rPr>
              <w:t>.</w:t>
            </w:r>
            <w:r w:rsidRPr="00C70E6B">
              <w:rPr>
                <w:rFonts w:ascii="標楷體" w:eastAsia="標楷體" w:hAnsi="標楷體"/>
                <w:color w:val="000000"/>
                <w:sz w:val="28"/>
                <w:szCs w:val="28"/>
              </w:rPr>
              <w:t>14</w:t>
            </w:r>
          </w:p>
        </w:tc>
        <w:tc>
          <w:tcPr>
            <w:tcW w:w="1082"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19</w:t>
            </w:r>
            <w:r w:rsidRPr="00C70E6B">
              <w:rPr>
                <w:rFonts w:ascii="標楷體" w:eastAsia="標楷體" w:hAnsi="標楷體"/>
                <w:color w:val="000000"/>
                <w:sz w:val="28"/>
                <w:szCs w:val="28"/>
              </w:rPr>
              <w:t>3.02</w:t>
            </w:r>
          </w:p>
        </w:tc>
      </w:tr>
      <w:tr w:rsidR="00A52886" w:rsidRPr="00C70E6B">
        <w:trPr>
          <w:trHeight w:val="405"/>
        </w:trPr>
        <w:tc>
          <w:tcPr>
            <w:tcW w:w="1843" w:type="dxa"/>
            <w:vMerge/>
            <w:tcBorders>
              <w:top w:val="nil"/>
              <w:left w:val="single" w:sz="8" w:space="0" w:color="auto"/>
              <w:bottom w:val="single" w:sz="4" w:space="0" w:color="auto"/>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積欠勞工保險費</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83.88</w:t>
            </w:r>
          </w:p>
        </w:tc>
        <w:tc>
          <w:tcPr>
            <w:tcW w:w="1082" w:type="dxa"/>
            <w:vMerge/>
            <w:tcBorders>
              <w:top w:val="single" w:sz="4" w:space="0" w:color="auto"/>
              <w:left w:val="single" w:sz="4" w:space="0" w:color="auto"/>
              <w:bottom w:val="single" w:sz="4" w:space="0" w:color="auto"/>
              <w:right w:val="single" w:sz="8"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r>
      <w:tr w:rsidR="00A52886" w:rsidRPr="00C70E6B">
        <w:trPr>
          <w:trHeight w:val="840"/>
        </w:trPr>
        <w:tc>
          <w:tcPr>
            <w:tcW w:w="1843" w:type="dxa"/>
            <w:vMerge/>
            <w:tcBorders>
              <w:top w:val="nil"/>
              <w:left w:val="single" w:sz="8" w:space="0" w:color="auto"/>
              <w:bottom w:val="single" w:sz="4" w:space="0" w:color="auto"/>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積欠教育退休人員優惠存款差額利息</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92.35</w:t>
            </w:r>
          </w:p>
        </w:tc>
        <w:tc>
          <w:tcPr>
            <w:tcW w:w="1082" w:type="dxa"/>
            <w:vMerge w:val="restart"/>
            <w:tcBorders>
              <w:top w:val="nil"/>
              <w:left w:val="single" w:sz="4" w:space="0" w:color="auto"/>
              <w:bottom w:val="double" w:sz="6" w:space="0" w:color="000000"/>
              <w:right w:val="single" w:sz="8" w:space="0" w:color="auto"/>
            </w:tcBorders>
            <w:shd w:val="clear" w:color="auto" w:fill="auto"/>
            <w:noWrap/>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15</w:t>
            </w:r>
            <w:r w:rsidRPr="00C70E6B">
              <w:rPr>
                <w:rFonts w:ascii="標楷體" w:eastAsia="標楷體" w:hAnsi="標楷體"/>
                <w:color w:val="000000"/>
                <w:sz w:val="28"/>
                <w:szCs w:val="28"/>
              </w:rPr>
              <w:t>2.61</w:t>
            </w:r>
          </w:p>
        </w:tc>
      </w:tr>
      <w:tr w:rsidR="00A52886" w:rsidRPr="00C70E6B">
        <w:trPr>
          <w:trHeight w:val="600"/>
        </w:trPr>
        <w:tc>
          <w:tcPr>
            <w:tcW w:w="1843" w:type="dxa"/>
            <w:vMerge/>
            <w:tcBorders>
              <w:top w:val="nil"/>
              <w:left w:val="single" w:sz="8" w:space="0" w:color="auto"/>
              <w:bottom w:val="single" w:sz="4" w:space="0" w:color="auto"/>
              <w:right w:val="single" w:sz="4"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積欠私校退撫資遣等9項其他未來給付責任經費</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6</w:t>
            </w:r>
            <w:r w:rsidRPr="00C70E6B">
              <w:rPr>
                <w:rFonts w:ascii="標楷體" w:eastAsia="標楷體" w:hAnsi="標楷體"/>
                <w:color w:val="000000"/>
                <w:sz w:val="28"/>
                <w:szCs w:val="28"/>
              </w:rPr>
              <w:t>0.26</w:t>
            </w:r>
          </w:p>
        </w:tc>
        <w:tc>
          <w:tcPr>
            <w:tcW w:w="1082" w:type="dxa"/>
            <w:vMerge/>
            <w:tcBorders>
              <w:top w:val="nil"/>
              <w:left w:val="single" w:sz="4" w:space="0" w:color="auto"/>
              <w:bottom w:val="double" w:sz="6" w:space="0" w:color="000000"/>
              <w:right w:val="single" w:sz="8" w:space="0" w:color="auto"/>
            </w:tcBorders>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p>
        </w:tc>
      </w:tr>
      <w:tr w:rsidR="00A52886" w:rsidRPr="00C70E6B">
        <w:trPr>
          <w:trHeight w:val="444"/>
        </w:trPr>
        <w:tc>
          <w:tcPr>
            <w:tcW w:w="6714" w:type="dxa"/>
            <w:gridSpan w:val="3"/>
            <w:tcBorders>
              <w:top w:val="double" w:sz="6" w:space="0" w:color="auto"/>
              <w:left w:val="single" w:sz="8" w:space="0" w:color="auto"/>
              <w:bottom w:val="single" w:sz="8" w:space="0" w:color="auto"/>
              <w:right w:val="single" w:sz="4" w:space="0" w:color="auto"/>
            </w:tcBorders>
            <w:shd w:val="clear" w:color="auto" w:fill="auto"/>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未來給付責任總計</w:t>
            </w:r>
          </w:p>
        </w:tc>
        <w:tc>
          <w:tcPr>
            <w:tcW w:w="1082" w:type="dxa"/>
            <w:tcBorders>
              <w:top w:val="nil"/>
              <w:left w:val="nil"/>
              <w:bottom w:val="single" w:sz="8" w:space="0" w:color="auto"/>
              <w:right w:val="single" w:sz="8" w:space="0" w:color="auto"/>
            </w:tcBorders>
            <w:shd w:val="clear" w:color="auto" w:fill="auto"/>
            <w:noWrap/>
            <w:vAlign w:val="center"/>
          </w:tcPr>
          <w:p w:rsidR="00A52886" w:rsidRPr="00C70E6B" w:rsidRDefault="00A52886" w:rsidP="00583D07">
            <w:pPr>
              <w:spacing w:line="360" w:lineRule="exact"/>
              <w:ind w:rightChars="110" w:right="264"/>
              <w:jc w:val="both"/>
              <w:rPr>
                <w:rFonts w:ascii="標楷體" w:eastAsia="標楷體" w:hAnsi="標楷體"/>
                <w:color w:val="000000"/>
                <w:sz w:val="28"/>
                <w:szCs w:val="28"/>
              </w:rPr>
            </w:pPr>
            <w:r w:rsidRPr="00C70E6B">
              <w:rPr>
                <w:rFonts w:ascii="標楷體" w:eastAsia="標楷體" w:hAnsi="標楷體" w:hint="eastAsia"/>
                <w:color w:val="000000"/>
                <w:sz w:val="28"/>
                <w:szCs w:val="28"/>
              </w:rPr>
              <w:t>34</w:t>
            </w:r>
            <w:r w:rsidRPr="00C70E6B">
              <w:rPr>
                <w:rFonts w:ascii="標楷體" w:eastAsia="標楷體" w:hAnsi="標楷體"/>
                <w:color w:val="000000"/>
                <w:sz w:val="28"/>
                <w:szCs w:val="28"/>
              </w:rPr>
              <w:t>5.63</w:t>
            </w:r>
          </w:p>
        </w:tc>
      </w:tr>
    </w:tbl>
    <w:p w:rsidR="00A52886" w:rsidRPr="00C70E6B" w:rsidRDefault="000F4CAC" w:rsidP="00C11D58">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三</w:t>
      </w:r>
      <w:r w:rsidRPr="00C70E6B">
        <w:rPr>
          <w:rFonts w:hint="eastAsia"/>
          <w:color w:val="000000"/>
        </w:rPr>
        <w:t>)</w:t>
      </w:r>
      <w:r w:rsidR="00A52886" w:rsidRPr="00C70E6B">
        <w:rPr>
          <w:rFonts w:hint="eastAsia"/>
          <w:color w:val="000000"/>
        </w:rPr>
        <w:t>本府開源節流措施推動情形</w:t>
      </w:r>
    </w:p>
    <w:p w:rsidR="006B59CF" w:rsidRPr="00C70E6B" w:rsidRDefault="00C11D58" w:rsidP="00C11D58">
      <w:pPr>
        <w:pStyle w:val="affffffffb"/>
        <w:ind w:leftChars="450" w:left="1360" w:rightChars="0" w:right="0" w:hangingChars="100" w:hanging="280"/>
        <w:jc w:val="both"/>
        <w:rPr>
          <w:color w:val="000000"/>
        </w:rPr>
      </w:pPr>
      <w:r w:rsidRPr="00C70E6B">
        <w:rPr>
          <w:rFonts w:hint="eastAsia"/>
          <w:color w:val="000000"/>
        </w:rPr>
        <w:t>1.</w:t>
      </w:r>
      <w:r w:rsidR="00A52886" w:rsidRPr="00C70E6B">
        <w:rPr>
          <w:rFonts w:hint="eastAsia"/>
          <w:color w:val="000000"/>
        </w:rPr>
        <w:t>107年度開源節流措施可量化項目執行績效為378.87億元，包含開源337.43億元及節流41.44億元，主要為「積極向中央爭取建設經費補助」276.95億元、「加強預算審查與執行及嚴格控制經費支出」34.60億元、「加強市有財產管理及開發」28.98億元等。</w:t>
      </w:r>
    </w:p>
    <w:p w:rsidR="00A52886" w:rsidRPr="00C70E6B" w:rsidRDefault="00C11D58" w:rsidP="00C11D58">
      <w:pPr>
        <w:pStyle w:val="affffffffb"/>
        <w:ind w:leftChars="450" w:left="1360" w:rightChars="0" w:right="0" w:hangingChars="100" w:hanging="280"/>
        <w:jc w:val="both"/>
        <w:rPr>
          <w:color w:val="000000"/>
        </w:rPr>
      </w:pPr>
      <w:r w:rsidRPr="00C70E6B">
        <w:rPr>
          <w:rFonts w:hint="eastAsia"/>
          <w:color w:val="000000"/>
        </w:rPr>
        <w:t>2.</w:t>
      </w:r>
      <w:r w:rsidR="00A52886" w:rsidRPr="00C70E6B">
        <w:rPr>
          <w:rFonts w:hint="eastAsia"/>
          <w:color w:val="000000"/>
        </w:rPr>
        <w:t>108年度除賡續推動本府開源節流措施，於108年2月18日函頒年度作業計畫督促各機關積極辦理</w:t>
      </w:r>
      <w:bookmarkStart w:id="1" w:name="_Hlk13045753"/>
      <w:r w:rsidR="00A52886" w:rsidRPr="00C70E6B">
        <w:rPr>
          <w:rFonts w:hint="eastAsia"/>
          <w:color w:val="000000"/>
        </w:rPr>
        <w:t>外，</w:t>
      </w:r>
      <w:bookmarkEnd w:id="1"/>
      <w:r w:rsidR="00A52886" w:rsidRPr="00C70E6B">
        <w:rPr>
          <w:rFonts w:hint="eastAsia"/>
          <w:color w:val="000000"/>
        </w:rPr>
        <w:t>為強化利用公有建築物並增加本府財政收入，特訂定「高雄市政府所屬各機關學校辦理公有建築物冠名作業要點」，並函頒各機關盤點所經管適合冠名之公有建築物，積極辦理。另為落實使用者付費原則，對於已逾三年未調整之收費標準，更以實地訪查或書面查核等方式進行檢討。為撙節本府債務利息負擔，積極觀察金融市場趨勢，趁勢在債券市場低檔發行公債，於</w:t>
      </w:r>
      <w:smartTag w:uri="urn:schemas-microsoft-com:office:smarttags" w:element="chsdate">
        <w:smartTagPr>
          <w:attr w:name="Year" w:val="2019"/>
          <w:attr w:name="Month" w:val="6"/>
          <w:attr w:name="Day" w:val="14"/>
          <w:attr w:name="IsLunarDate" w:val="False"/>
          <w:attr w:name="IsROCDate" w:val="False"/>
        </w:smartTagPr>
        <w:r w:rsidR="00A52886" w:rsidRPr="00C70E6B">
          <w:rPr>
            <w:rFonts w:hint="eastAsia"/>
            <w:color w:val="000000"/>
          </w:rPr>
          <w:t>6月14日</w:t>
        </w:r>
      </w:smartTag>
      <w:r w:rsidR="00A52886" w:rsidRPr="00C70E6B">
        <w:rPr>
          <w:rFonts w:hint="eastAsia"/>
          <w:color w:val="000000"/>
        </w:rPr>
        <w:t>發行共計150億元公債償還到期借款，分別為3年期33.5億元</w:t>
      </w:r>
      <w:r w:rsidR="000F4CAC" w:rsidRPr="00C70E6B">
        <w:rPr>
          <w:rFonts w:hint="eastAsia"/>
          <w:color w:val="000000"/>
        </w:rPr>
        <w:t>(</w:t>
      </w:r>
      <w:r w:rsidR="00A52886" w:rsidRPr="00C70E6B">
        <w:rPr>
          <w:rFonts w:hint="eastAsia"/>
          <w:color w:val="000000"/>
        </w:rPr>
        <w:t>利率0.65%</w:t>
      </w:r>
      <w:r w:rsidR="000F4CAC" w:rsidRPr="00C70E6B">
        <w:rPr>
          <w:rFonts w:hint="eastAsia"/>
          <w:color w:val="000000"/>
        </w:rPr>
        <w:t>)</w:t>
      </w:r>
      <w:r w:rsidR="00A52886" w:rsidRPr="00C70E6B">
        <w:rPr>
          <w:rFonts w:hint="eastAsia"/>
          <w:color w:val="000000"/>
        </w:rPr>
        <w:t>、5年期82億元</w:t>
      </w:r>
      <w:r w:rsidR="000F4CAC" w:rsidRPr="00C70E6B">
        <w:rPr>
          <w:rFonts w:hint="eastAsia"/>
          <w:color w:val="000000"/>
        </w:rPr>
        <w:t>(</w:t>
      </w:r>
      <w:r w:rsidR="00A52886" w:rsidRPr="00C70E6B">
        <w:rPr>
          <w:rFonts w:hint="eastAsia"/>
          <w:color w:val="000000"/>
        </w:rPr>
        <w:t>利率0.70%</w:t>
      </w:r>
      <w:r w:rsidR="000F4CAC" w:rsidRPr="00C70E6B">
        <w:rPr>
          <w:rFonts w:hint="eastAsia"/>
          <w:color w:val="000000"/>
        </w:rPr>
        <w:t>)</w:t>
      </w:r>
      <w:r w:rsidR="00A52886" w:rsidRPr="00C70E6B">
        <w:rPr>
          <w:rFonts w:hint="eastAsia"/>
          <w:color w:val="000000"/>
        </w:rPr>
        <w:t>及10年期34.5億元(利率0.839%)，發行利率為本府歷年最低。另財政收支劃分法修法遲未有進度，爰本府行文財政部爭取先修正中央統籌分配稅款分配辦法，將分配權數調整為營利事業營業額30％、土地面積30％、人口數30％及財政能力10％，以縮小分配落差，合理分配財源，並建議主計總處應取消地方政府整體獲配財源成長上限之限制，才能達到實質調整之意義；對於財劃法修法，亦擬具爭取將營業稅分配比例由40％提高至45％或50％之說帖，由市長至行政院會向中央爭取，雖均未獲中央採納，本府仍將持續爭取，以增加本市財源。</w:t>
      </w:r>
    </w:p>
    <w:p w:rsidR="00A52886" w:rsidRPr="00C70E6B" w:rsidRDefault="00A52886" w:rsidP="00C11D58">
      <w:pPr>
        <w:pStyle w:val="affffffff7"/>
        <w:spacing w:beforeLines="50" w:before="180" w:after="0" w:line="440" w:lineRule="exact"/>
        <w:jc w:val="both"/>
        <w:rPr>
          <w:rFonts w:ascii="標楷體" w:eastAsia="標楷體" w:hAnsi="標楷體"/>
          <w:color w:val="000000"/>
        </w:rPr>
      </w:pPr>
      <w:r w:rsidRPr="00C70E6B">
        <w:rPr>
          <w:rFonts w:ascii="標楷體" w:eastAsia="標楷體" w:hAnsi="標楷體" w:hint="eastAsia"/>
          <w:color w:val="000000"/>
        </w:rPr>
        <w:t>二、稅務、金融管理</w:t>
      </w:r>
    </w:p>
    <w:p w:rsidR="00A52886" w:rsidRPr="00C70E6B" w:rsidRDefault="000F4CAC" w:rsidP="00C11D58">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一</w:t>
      </w:r>
      <w:r w:rsidRPr="00C70E6B">
        <w:rPr>
          <w:color w:val="000000"/>
        </w:rPr>
        <w:t>)</w:t>
      </w:r>
      <w:r w:rsidR="00A52886" w:rsidRPr="00C70E6B">
        <w:rPr>
          <w:rFonts w:hint="eastAsia"/>
          <w:color w:val="000000"/>
        </w:rPr>
        <w:t>稅務管理</w:t>
      </w:r>
    </w:p>
    <w:p w:rsidR="00BB4C9E" w:rsidRPr="00C70E6B" w:rsidRDefault="00C11D58" w:rsidP="00BB4C9E">
      <w:pPr>
        <w:pStyle w:val="affffffffb"/>
        <w:ind w:leftChars="450" w:left="1360" w:rightChars="0" w:right="0" w:hangingChars="100" w:hanging="280"/>
        <w:jc w:val="both"/>
        <w:rPr>
          <w:rFonts w:hint="eastAsia"/>
          <w:color w:val="000000"/>
        </w:rPr>
      </w:pPr>
      <w:r w:rsidRPr="00C70E6B">
        <w:rPr>
          <w:rFonts w:hint="eastAsia"/>
          <w:color w:val="000000"/>
        </w:rPr>
        <w:t>1.</w:t>
      </w:r>
      <w:r w:rsidR="00A52886" w:rsidRPr="00C70E6B">
        <w:rPr>
          <w:rFonts w:hint="eastAsia"/>
          <w:color w:val="000000"/>
        </w:rPr>
        <w:t>續定高雄市土石採取景觀維護特別稅徵收自治條例：</w:t>
      </w:r>
    </w:p>
    <w:p w:rsidR="00826D7A" w:rsidRPr="00995ADF" w:rsidRDefault="00A52886" w:rsidP="00BB4C9E">
      <w:pPr>
        <w:pStyle w:val="affffffffb"/>
        <w:ind w:leftChars="570" w:left="1368" w:rightChars="0" w:right="0"/>
        <w:jc w:val="both"/>
      </w:pPr>
      <w:r w:rsidRPr="00C70E6B">
        <w:rPr>
          <w:rFonts w:hint="eastAsia"/>
          <w:color w:val="000000"/>
        </w:rPr>
        <w:t>為維護自然景觀永續發展及適度彌補社會成本，本府前於104年11月12日公布制定「高雄市土石採取景觀維護特別稅徵收自治條例」，課徵土石採取景觀維護特別稅，因該特別稅課徵年限於108年11月13日屆滿，爰重新制定本自制條例，經</w:t>
      </w:r>
      <w:r w:rsidR="00995ADF">
        <w:rPr>
          <w:rFonts w:hint="eastAsia"/>
          <w:color w:val="000000"/>
        </w:rPr>
        <w:t>貴</w:t>
      </w:r>
      <w:r w:rsidRPr="00C70E6B">
        <w:rPr>
          <w:rFonts w:hint="eastAsia"/>
          <w:color w:val="000000"/>
        </w:rPr>
        <w:t>會審議通過</w:t>
      </w:r>
      <w:r w:rsidRPr="00995ADF">
        <w:rPr>
          <w:rFonts w:hint="eastAsia"/>
        </w:rPr>
        <w:t>，於</w:t>
      </w:r>
      <w:r w:rsidR="00995ADF" w:rsidRPr="00995ADF">
        <w:rPr>
          <w:rFonts w:hint="eastAsia"/>
          <w:spacing w:val="-4"/>
        </w:rPr>
        <w:t>行政院並於108年7月19日函復業已備查。依程序辦理發布事宜後，將據以繼續課徵該特別稅</w:t>
      </w:r>
      <w:r w:rsidRPr="00995ADF">
        <w:rPr>
          <w:rFonts w:hint="eastAsia"/>
        </w:rPr>
        <w:t>。</w:t>
      </w:r>
    </w:p>
    <w:p w:rsidR="00BB4C9E" w:rsidRPr="00C70E6B" w:rsidRDefault="00C11D58" w:rsidP="00BB4C9E">
      <w:pPr>
        <w:pStyle w:val="affffffffb"/>
        <w:ind w:leftChars="450" w:left="1360" w:rightChars="0" w:right="0" w:hangingChars="100" w:hanging="280"/>
        <w:jc w:val="both"/>
        <w:rPr>
          <w:rFonts w:hint="eastAsia"/>
          <w:color w:val="000000"/>
        </w:rPr>
      </w:pPr>
      <w:r w:rsidRPr="00C70E6B">
        <w:rPr>
          <w:rFonts w:hint="eastAsia"/>
          <w:color w:val="000000"/>
        </w:rPr>
        <w:t>2.</w:t>
      </w:r>
      <w:r w:rsidR="00A52886" w:rsidRPr="00C70E6B">
        <w:rPr>
          <w:rFonts w:hint="eastAsia"/>
          <w:color w:val="000000"/>
        </w:rPr>
        <w:t>稅捐稽徵及清理欠稅情形</w:t>
      </w:r>
    </w:p>
    <w:p w:rsidR="00BB4C9E" w:rsidRPr="00C70E6B" w:rsidRDefault="00A52886" w:rsidP="00BB4C9E">
      <w:pPr>
        <w:pStyle w:val="affffffffb"/>
        <w:ind w:leftChars="550" w:left="1740" w:rightChars="0" w:right="0" w:hangingChars="150" w:hanging="420"/>
        <w:jc w:val="both"/>
        <w:rPr>
          <w:rFonts w:hint="eastAsia"/>
          <w:color w:val="000000"/>
        </w:rPr>
      </w:pPr>
      <w:r w:rsidRPr="00C70E6B">
        <w:rPr>
          <w:rFonts w:hint="eastAsia"/>
          <w:color w:val="000000"/>
        </w:rPr>
        <w:t>(1)本市108年度市稅預算數409億4,600萬元；截至108年6月底止實徵淨額累計</w:t>
      </w:r>
      <w:r w:rsidR="00995ADF">
        <w:rPr>
          <w:rFonts w:hint="eastAsia"/>
          <w:color w:val="000000"/>
        </w:rPr>
        <w:t>233</w:t>
      </w:r>
      <w:r w:rsidRPr="00C70E6B">
        <w:rPr>
          <w:rFonts w:hint="eastAsia"/>
          <w:color w:val="000000"/>
        </w:rPr>
        <w:t>億</w:t>
      </w:r>
      <w:r w:rsidR="00995ADF">
        <w:rPr>
          <w:rFonts w:hint="eastAsia"/>
          <w:color w:val="000000"/>
        </w:rPr>
        <w:t>5</w:t>
      </w:r>
      <w:r w:rsidRPr="00C70E6B">
        <w:rPr>
          <w:rFonts w:hint="eastAsia"/>
          <w:color w:val="000000"/>
        </w:rPr>
        <w:t>,</w:t>
      </w:r>
      <w:r w:rsidR="00995ADF">
        <w:rPr>
          <w:rFonts w:hint="eastAsia"/>
          <w:color w:val="000000"/>
        </w:rPr>
        <w:t>058</w:t>
      </w:r>
      <w:r w:rsidRPr="00C70E6B">
        <w:rPr>
          <w:rFonts w:hint="eastAsia"/>
          <w:color w:val="000000"/>
        </w:rPr>
        <w:t>萬元，達成率</w:t>
      </w:r>
      <w:r w:rsidR="00995ADF">
        <w:rPr>
          <w:rFonts w:hint="eastAsia"/>
          <w:color w:val="000000"/>
        </w:rPr>
        <w:t>57</w:t>
      </w:r>
      <w:r w:rsidRPr="00C70E6B">
        <w:rPr>
          <w:rFonts w:hint="eastAsia"/>
          <w:color w:val="000000"/>
        </w:rPr>
        <w:t>％。</w:t>
      </w:r>
    </w:p>
    <w:p w:rsidR="00A52886" w:rsidRPr="00C70E6B" w:rsidRDefault="00A52886" w:rsidP="00BB4C9E">
      <w:pPr>
        <w:pStyle w:val="affffffffb"/>
        <w:ind w:leftChars="550" w:left="1740" w:rightChars="0" w:right="0" w:hangingChars="150" w:hanging="420"/>
        <w:jc w:val="both"/>
        <w:rPr>
          <w:color w:val="000000"/>
        </w:rPr>
      </w:pPr>
      <w:r w:rsidRPr="00C70E6B">
        <w:rPr>
          <w:rFonts w:hint="eastAsia"/>
          <w:color w:val="000000"/>
        </w:rPr>
        <w:t>(2)督導本市稅捐處積極加強清理欠稅，截至108年6月底止清理欠稅累計徵起</w:t>
      </w:r>
      <w:r w:rsidR="00995ADF">
        <w:rPr>
          <w:rFonts w:hint="eastAsia"/>
          <w:color w:val="000000"/>
        </w:rPr>
        <w:t>5</w:t>
      </w:r>
      <w:r w:rsidRPr="00C70E6B">
        <w:rPr>
          <w:rFonts w:hint="eastAsia"/>
          <w:color w:val="000000"/>
        </w:rPr>
        <w:t>.</w:t>
      </w:r>
      <w:r w:rsidR="00995ADF">
        <w:rPr>
          <w:rFonts w:hint="eastAsia"/>
          <w:color w:val="000000"/>
        </w:rPr>
        <w:t>83</w:t>
      </w:r>
      <w:r w:rsidRPr="00C70E6B">
        <w:rPr>
          <w:rFonts w:hint="eastAsia"/>
          <w:color w:val="000000"/>
        </w:rPr>
        <w:t>億元。</w:t>
      </w:r>
    </w:p>
    <w:p w:rsidR="00A52886" w:rsidRPr="00C70E6B" w:rsidRDefault="00A52886" w:rsidP="00C11D58">
      <w:pPr>
        <w:pStyle w:val="affffffff9"/>
        <w:spacing w:line="440" w:lineRule="exact"/>
        <w:ind w:leftChars="100" w:left="240"/>
        <w:jc w:val="both"/>
        <w:rPr>
          <w:color w:val="000000"/>
        </w:rPr>
      </w:pPr>
      <w:r w:rsidRPr="00C70E6B">
        <w:rPr>
          <w:rFonts w:hint="eastAsia"/>
          <w:color w:val="000000"/>
        </w:rPr>
        <w:t>(二</w:t>
      </w:r>
      <w:r w:rsidR="000F4CAC" w:rsidRPr="00C70E6B">
        <w:rPr>
          <w:rFonts w:hint="eastAsia"/>
          <w:color w:val="000000"/>
        </w:rPr>
        <w:t>)</w:t>
      </w:r>
      <w:r w:rsidRPr="00C70E6B">
        <w:rPr>
          <w:rFonts w:hint="eastAsia"/>
          <w:color w:val="000000"/>
        </w:rPr>
        <w:t>金融管理</w:t>
      </w:r>
    </w:p>
    <w:p w:rsidR="00BB4C9E" w:rsidRPr="00C70E6B" w:rsidRDefault="00C11D58" w:rsidP="00BB4C9E">
      <w:pPr>
        <w:pStyle w:val="affffffffb"/>
        <w:ind w:leftChars="450" w:left="1360" w:rightChars="0" w:right="0" w:hangingChars="100" w:hanging="280"/>
        <w:jc w:val="both"/>
        <w:rPr>
          <w:rFonts w:hint="eastAsia"/>
          <w:color w:val="000000"/>
        </w:rPr>
      </w:pPr>
      <w:r w:rsidRPr="00C70E6B">
        <w:rPr>
          <w:rFonts w:hint="eastAsia"/>
          <w:color w:val="000000"/>
        </w:rPr>
        <w:t>1.</w:t>
      </w:r>
      <w:r w:rsidR="00A52886" w:rsidRPr="00C70E6B">
        <w:rPr>
          <w:rFonts w:hint="eastAsia"/>
          <w:color w:val="000000"/>
        </w:rPr>
        <w:t>信用合作社管理</w:t>
      </w:r>
    </w:p>
    <w:p w:rsidR="00826D7A" w:rsidRPr="00C70E6B" w:rsidRDefault="00A52886" w:rsidP="00BB4C9E">
      <w:pPr>
        <w:pStyle w:val="affffffffb"/>
        <w:ind w:leftChars="570" w:left="1368" w:rightChars="0" w:right="0"/>
        <w:jc w:val="both"/>
        <w:rPr>
          <w:color w:val="000000"/>
        </w:rPr>
      </w:pPr>
      <w:r w:rsidRPr="00C70E6B">
        <w:rPr>
          <w:rFonts w:hint="eastAsia"/>
          <w:color w:val="000000"/>
        </w:rPr>
        <w:lastRenderedPageBreak/>
        <w:t>督導本市第三信用合作社提足備抵呆帳，降低逾放比率，強化資本結構，提升資本適足率，建全財務結構，另督導其加強監事會職能，建立內部控制及稽核制度，以防弊端。</w:t>
      </w:r>
    </w:p>
    <w:p w:rsidR="00C11D58" w:rsidRPr="00C70E6B" w:rsidRDefault="00C11D58" w:rsidP="00BB4C9E">
      <w:pPr>
        <w:pStyle w:val="affffffffb"/>
        <w:ind w:leftChars="450" w:left="1360" w:rightChars="0" w:right="0" w:hangingChars="100" w:hanging="280"/>
        <w:jc w:val="both"/>
        <w:rPr>
          <w:rFonts w:hint="eastAsia"/>
          <w:color w:val="000000"/>
        </w:rPr>
      </w:pPr>
      <w:r w:rsidRPr="00C70E6B">
        <w:rPr>
          <w:rFonts w:hint="eastAsia"/>
          <w:color w:val="000000"/>
        </w:rPr>
        <w:t>2.</w:t>
      </w:r>
      <w:r w:rsidR="00A52886" w:rsidRPr="00C70E6B">
        <w:rPr>
          <w:rFonts w:hint="eastAsia"/>
          <w:color w:val="000000"/>
        </w:rPr>
        <w:t>農漁會信用部管理</w:t>
      </w:r>
    </w:p>
    <w:p w:rsidR="00C11D58" w:rsidRPr="00C70E6B" w:rsidRDefault="00A52886" w:rsidP="00BB4C9E">
      <w:pPr>
        <w:pStyle w:val="affffffffb"/>
        <w:ind w:leftChars="550" w:left="1740" w:rightChars="0" w:right="0" w:hangingChars="150" w:hanging="420"/>
        <w:jc w:val="both"/>
        <w:rPr>
          <w:rFonts w:hint="eastAsia"/>
          <w:color w:val="000000"/>
        </w:rPr>
      </w:pPr>
      <w:r w:rsidRPr="00C70E6B">
        <w:rPr>
          <w:rFonts w:hint="eastAsia"/>
          <w:color w:val="000000"/>
        </w:rPr>
        <w:t>(1)為提高</w:t>
      </w:r>
      <w:bookmarkStart w:id="2" w:name="_Hlk502653000"/>
      <w:r w:rsidRPr="00C70E6B">
        <w:rPr>
          <w:rFonts w:hint="eastAsia"/>
          <w:color w:val="000000"/>
        </w:rPr>
        <w:t>農</w:t>
      </w:r>
      <w:bookmarkStart w:id="3" w:name="_Hlk502653010"/>
      <w:r w:rsidRPr="00C70E6B">
        <w:rPr>
          <w:rFonts w:hint="eastAsia"/>
          <w:color w:val="000000"/>
        </w:rPr>
        <w:t>、漁</w:t>
      </w:r>
      <w:bookmarkEnd w:id="3"/>
      <w:r w:rsidRPr="00C70E6B">
        <w:rPr>
          <w:rFonts w:hint="eastAsia"/>
          <w:color w:val="000000"/>
        </w:rPr>
        <w:t>民</w:t>
      </w:r>
      <w:bookmarkEnd w:id="2"/>
      <w:r w:rsidRPr="00C70E6B">
        <w:rPr>
          <w:rFonts w:hint="eastAsia"/>
          <w:color w:val="000000"/>
        </w:rPr>
        <w:t>知識技能，增加其生產收益，改善農、漁民生活，發展農、漁村經濟，輔導本市農漁會信用部提供其資金需求，截至108年6月30日止放款情形較107年同期合計增加</w:t>
      </w:r>
      <w:r w:rsidR="00995ADF">
        <w:rPr>
          <w:rFonts w:hint="eastAsia"/>
          <w:color w:val="000000"/>
        </w:rPr>
        <w:t>54</w:t>
      </w:r>
      <w:r w:rsidRPr="00C70E6B">
        <w:rPr>
          <w:rFonts w:hint="eastAsia"/>
          <w:color w:val="000000"/>
        </w:rPr>
        <w:t>.</w:t>
      </w:r>
      <w:r w:rsidR="00995ADF">
        <w:rPr>
          <w:rFonts w:hint="eastAsia"/>
          <w:color w:val="000000"/>
        </w:rPr>
        <w:t>42</w:t>
      </w:r>
      <w:r w:rsidRPr="00C70E6B">
        <w:rPr>
          <w:rFonts w:hint="eastAsia"/>
          <w:color w:val="000000"/>
        </w:rPr>
        <w:t>億元。</w:t>
      </w:r>
    </w:p>
    <w:p w:rsidR="00C11D58" w:rsidRPr="00703A05" w:rsidRDefault="00A52886" w:rsidP="00BB4C9E">
      <w:pPr>
        <w:pStyle w:val="affffffffb"/>
        <w:ind w:leftChars="550" w:left="1740" w:rightChars="0" w:right="0" w:hangingChars="150" w:hanging="420"/>
        <w:jc w:val="both"/>
        <w:rPr>
          <w:rFonts w:hint="eastAsia"/>
        </w:rPr>
      </w:pPr>
      <w:r w:rsidRPr="00C70E6B">
        <w:rPr>
          <w:rFonts w:hint="eastAsia"/>
          <w:color w:val="000000"/>
        </w:rPr>
        <w:t>(2)積極輔導農漁會信</w:t>
      </w:r>
      <w:r w:rsidRPr="00703A05">
        <w:rPr>
          <w:rFonts w:hint="eastAsia"/>
        </w:rPr>
        <w:t>用部改善財務業務狀況，加強內部控制，強健經營體質、維護存戶權益，並持續督導辦理不良放款之催理。</w:t>
      </w:r>
      <w:bookmarkStart w:id="4" w:name="_Hlk502653118"/>
      <w:r w:rsidRPr="00703A05">
        <w:rPr>
          <w:rFonts w:hint="eastAsia"/>
        </w:rPr>
        <w:t>截至108年6月30日止逾放情形較107年同期合計減少</w:t>
      </w:r>
      <w:r w:rsidR="00703A05" w:rsidRPr="00703A05">
        <w:rPr>
          <w:rFonts w:hint="eastAsia"/>
        </w:rPr>
        <w:t>1</w:t>
      </w:r>
      <w:r w:rsidRPr="00703A05">
        <w:rPr>
          <w:rFonts w:hint="eastAsia"/>
        </w:rPr>
        <w:t>.</w:t>
      </w:r>
      <w:r w:rsidR="00703A05" w:rsidRPr="00703A05">
        <w:rPr>
          <w:rFonts w:hint="eastAsia"/>
        </w:rPr>
        <w:t>13</w:t>
      </w:r>
      <w:r w:rsidRPr="00703A05">
        <w:rPr>
          <w:rFonts w:hint="eastAsia"/>
        </w:rPr>
        <w:t>億元</w:t>
      </w:r>
      <w:bookmarkEnd w:id="4"/>
      <w:r w:rsidR="00703A05" w:rsidRPr="00703A05">
        <w:rPr>
          <w:rFonts w:hint="eastAsia"/>
        </w:rPr>
        <w:t>，</w:t>
      </w:r>
      <w:r w:rsidR="00703A05" w:rsidRPr="00703A05">
        <w:rPr>
          <w:rFonts w:hint="eastAsia"/>
          <w:bCs/>
        </w:rPr>
        <w:t>逾放情形已持續改善。</w:t>
      </w:r>
    </w:p>
    <w:p w:rsidR="00826D7A" w:rsidRPr="00C70E6B" w:rsidRDefault="00A52886" w:rsidP="00BB4C9E">
      <w:pPr>
        <w:pStyle w:val="affffffffb"/>
        <w:ind w:leftChars="550" w:left="1740" w:rightChars="0" w:right="0" w:hangingChars="150" w:hanging="420"/>
        <w:jc w:val="both"/>
        <w:rPr>
          <w:color w:val="000000"/>
        </w:rPr>
      </w:pPr>
      <w:r w:rsidRPr="00703A05">
        <w:rPr>
          <w:rFonts w:hint="eastAsia"/>
        </w:rPr>
        <w:t>(3)持續輔導受專案列管之農漁會信用</w:t>
      </w:r>
      <w:r w:rsidRPr="00C70E6B">
        <w:rPr>
          <w:rFonts w:hint="eastAsia"/>
          <w:color w:val="000000"/>
        </w:rPr>
        <w:t>部，除每月檢討逾期放款案件催理進度，另按季召開會議輔導改善，及依計畫時程積極執行，以改善經營體質，確保存戶權益。並請該等農漁會按月訂定當年度備抵呆帳提列目標，儲備風險承擔能力，強化財務結構，以因應未來景氣變動。</w:t>
      </w:r>
    </w:p>
    <w:p w:rsidR="00C11D58" w:rsidRPr="00C70E6B" w:rsidRDefault="00C11D58" w:rsidP="00BB4C9E">
      <w:pPr>
        <w:pStyle w:val="affffffffb"/>
        <w:ind w:leftChars="450" w:left="1360" w:rightChars="0" w:right="0" w:hangingChars="100" w:hanging="280"/>
        <w:jc w:val="both"/>
        <w:rPr>
          <w:rFonts w:hint="eastAsia"/>
          <w:color w:val="000000"/>
        </w:rPr>
      </w:pPr>
      <w:r w:rsidRPr="00C70E6B">
        <w:rPr>
          <w:rFonts w:hint="eastAsia"/>
          <w:color w:val="000000"/>
        </w:rPr>
        <w:t>3.</w:t>
      </w:r>
      <w:r w:rsidR="00A52886" w:rsidRPr="00C70E6B">
        <w:rPr>
          <w:rFonts w:hint="eastAsia"/>
          <w:color w:val="000000"/>
        </w:rPr>
        <w:t>高雄銀行公股股權管理</w:t>
      </w:r>
    </w:p>
    <w:p w:rsidR="00C11D58" w:rsidRPr="00C70E6B" w:rsidRDefault="00A52886" w:rsidP="00BB4C9E">
      <w:pPr>
        <w:pStyle w:val="affffffffb"/>
        <w:ind w:leftChars="550" w:left="1740" w:rightChars="0" w:right="0" w:hangingChars="150" w:hanging="420"/>
        <w:jc w:val="both"/>
        <w:rPr>
          <w:rFonts w:hint="eastAsia"/>
          <w:color w:val="000000"/>
        </w:rPr>
      </w:pPr>
      <w:r w:rsidRPr="00C70E6B">
        <w:rPr>
          <w:rFonts w:hint="eastAsia"/>
          <w:color w:val="000000"/>
        </w:rPr>
        <w:t>(1)市府投資高雄銀行，107年度董事酬勞，本府公股股權代表計分配388萬元，已於108年6月5日發放並繳庫。股息收入方面，該行108年股東常會通過107年度股東股利每股分配現金股利0.11元，股票股利0.39元，合計每股分配0.50元，本府共計分配現金股利4,935萬餘元及股票股利1,749餘萬股。</w:t>
      </w:r>
    </w:p>
    <w:p w:rsidR="00C11D58" w:rsidRPr="00C70E6B" w:rsidRDefault="00A52886" w:rsidP="00BB4C9E">
      <w:pPr>
        <w:pStyle w:val="affffffffb"/>
        <w:ind w:leftChars="550" w:left="1740" w:rightChars="0" w:right="0" w:hangingChars="150" w:hanging="420"/>
        <w:jc w:val="both"/>
        <w:rPr>
          <w:rFonts w:hint="eastAsia"/>
          <w:color w:val="000000"/>
        </w:rPr>
      </w:pPr>
      <w:r w:rsidRPr="00C70E6B">
        <w:rPr>
          <w:rFonts w:hint="eastAsia"/>
          <w:color w:val="000000"/>
        </w:rPr>
        <w:t>(2)將持續促請本府公股股權代表督導該行積極拓展放款業務、推展財務管理、增加無風險之手續費收入、加速催理不良債權、撙節各項費用支出及強化員工服務品質，以提升營運績效。</w:t>
      </w:r>
    </w:p>
    <w:p w:rsidR="00C11D58" w:rsidRPr="00C70E6B" w:rsidRDefault="00C11D58" w:rsidP="00BB4C9E">
      <w:pPr>
        <w:pStyle w:val="affffffffb"/>
        <w:ind w:leftChars="450" w:left="1360" w:rightChars="0" w:right="0" w:hangingChars="100" w:hanging="280"/>
        <w:jc w:val="both"/>
        <w:rPr>
          <w:rFonts w:hint="eastAsia"/>
          <w:color w:val="000000"/>
        </w:rPr>
      </w:pPr>
      <w:r w:rsidRPr="00C70E6B">
        <w:rPr>
          <w:rFonts w:hint="eastAsia"/>
          <w:color w:val="000000"/>
        </w:rPr>
        <w:t>4.</w:t>
      </w:r>
      <w:r w:rsidR="00A52886" w:rsidRPr="00C70E6B">
        <w:rPr>
          <w:rFonts w:hint="eastAsia"/>
          <w:color w:val="000000"/>
        </w:rPr>
        <w:t>動產質借所管理</w:t>
      </w:r>
    </w:p>
    <w:p w:rsidR="00C11D58" w:rsidRPr="00C70E6B" w:rsidRDefault="00A52886" w:rsidP="00BB4C9E">
      <w:pPr>
        <w:pStyle w:val="affffffffb"/>
        <w:ind w:leftChars="550" w:left="1740" w:rightChars="0" w:right="0" w:hangingChars="150" w:hanging="420"/>
        <w:jc w:val="both"/>
        <w:rPr>
          <w:rFonts w:hint="eastAsia"/>
          <w:color w:val="000000"/>
        </w:rPr>
      </w:pPr>
      <w:r w:rsidRPr="00C70E6B">
        <w:rPr>
          <w:rFonts w:hint="eastAsia"/>
          <w:color w:val="000000"/>
        </w:rPr>
        <w:t>(1)督導動產質借所以低利率提供市民短期融通資金，並以服務為宗旨，依照相關法令辦理質借業務，現行質借放款利率：一般民眾為月息0.9％；自108年2月22日起，設籍於高雄市並領有低收入戶證明之質借人為月息0.75%。</w:t>
      </w:r>
    </w:p>
    <w:p w:rsidR="00A52886" w:rsidRPr="00703A05" w:rsidRDefault="00A52886" w:rsidP="00BB4C9E">
      <w:pPr>
        <w:pStyle w:val="affffffffb"/>
        <w:ind w:leftChars="550" w:left="1740" w:rightChars="0" w:right="0" w:hangingChars="150" w:hanging="420"/>
        <w:jc w:val="both"/>
      </w:pPr>
      <w:r w:rsidRPr="00C70E6B">
        <w:rPr>
          <w:rFonts w:hint="eastAsia"/>
          <w:color w:val="000000"/>
        </w:rPr>
        <w:t>(2)</w:t>
      </w:r>
      <w:r w:rsidR="00703A05" w:rsidRPr="00703A05">
        <w:rPr>
          <w:rFonts w:hint="eastAsia"/>
        </w:rPr>
        <w:t>截至108年6月底止，總收質人次1萬7,424人，收質件數5萬1,756件，總貸放金額為5.96億元</w:t>
      </w:r>
      <w:r w:rsidRPr="00703A05">
        <w:rPr>
          <w:rFonts w:hint="eastAsia"/>
        </w:rPr>
        <w:t>。</w:t>
      </w:r>
    </w:p>
    <w:p w:rsidR="00A52886" w:rsidRPr="00C70E6B" w:rsidRDefault="00A52886" w:rsidP="00C11D58">
      <w:pPr>
        <w:pStyle w:val="affffffff7"/>
        <w:spacing w:beforeLines="50" w:before="180" w:after="0" w:line="440" w:lineRule="exact"/>
        <w:jc w:val="both"/>
        <w:rPr>
          <w:rFonts w:ascii="標楷體" w:eastAsia="標楷體" w:hAnsi="標楷體"/>
          <w:color w:val="000000"/>
        </w:rPr>
      </w:pPr>
      <w:r w:rsidRPr="00C70E6B">
        <w:rPr>
          <w:rFonts w:ascii="標楷體" w:eastAsia="標楷體" w:hAnsi="標楷體" w:hint="eastAsia"/>
          <w:color w:val="000000"/>
        </w:rPr>
        <w:t>三、菸酒管理</w:t>
      </w:r>
    </w:p>
    <w:p w:rsidR="00A52886" w:rsidRPr="00C70E6B" w:rsidRDefault="000F4CAC" w:rsidP="00BB4C9E">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一</w:t>
      </w:r>
      <w:r w:rsidRPr="00C70E6B">
        <w:rPr>
          <w:rFonts w:hint="eastAsia"/>
          <w:color w:val="000000"/>
        </w:rPr>
        <w:t>)</w:t>
      </w:r>
      <w:r w:rsidR="00A52886" w:rsidRPr="00C70E6B">
        <w:rPr>
          <w:rFonts w:hint="eastAsia"/>
          <w:color w:val="000000"/>
        </w:rPr>
        <w:t>菸酒查緝情形</w:t>
      </w:r>
    </w:p>
    <w:p w:rsidR="00826D7A" w:rsidRPr="00C70E6B" w:rsidRDefault="00BB4C9E" w:rsidP="000F4CAC">
      <w:pPr>
        <w:pStyle w:val="affffffffb"/>
        <w:ind w:leftChars="350" w:left="1120" w:rightChars="0" w:right="0" w:hangingChars="100" w:hanging="280"/>
        <w:jc w:val="both"/>
        <w:rPr>
          <w:color w:val="000000"/>
        </w:rPr>
      </w:pPr>
      <w:r w:rsidRPr="00C70E6B">
        <w:rPr>
          <w:rFonts w:hint="eastAsia"/>
          <w:color w:val="000000"/>
        </w:rPr>
        <w:t>1.</w:t>
      </w:r>
      <w:r w:rsidR="00A52886" w:rsidRPr="00C70E6B">
        <w:rPr>
          <w:rFonts w:hint="eastAsia"/>
          <w:color w:val="000000"/>
        </w:rPr>
        <w:t>依108年度菸酒抽檢實施計畫，應抽查菸酒製造業、進口業、批發買賣業、販賣或使用未變性酒精業者共474家，截至</w:t>
      </w:r>
      <w:smartTag w:uri="urn:schemas-microsoft-com:office:smarttags" w:element="chsdate">
        <w:smartTagPr>
          <w:attr w:name="Year" w:val="2019"/>
          <w:attr w:name="Month" w:val="6"/>
          <w:attr w:name="Day" w:val="30"/>
          <w:attr w:name="IsLunarDate" w:val="False"/>
          <w:attr w:name="IsROCDate" w:val="False"/>
        </w:smartTagPr>
        <w:r w:rsidR="00A52886" w:rsidRPr="00C70E6B">
          <w:rPr>
            <w:rFonts w:hint="eastAsia"/>
            <w:color w:val="000000"/>
          </w:rPr>
          <w:t>6月30日</w:t>
        </w:r>
      </w:smartTag>
      <w:r w:rsidR="00A52886" w:rsidRPr="00C70E6B">
        <w:rPr>
          <w:rFonts w:hint="eastAsia"/>
          <w:color w:val="000000"/>
        </w:rPr>
        <w:t>止共抽檢業者447家，執行率94.30％。</w:t>
      </w:r>
    </w:p>
    <w:p w:rsidR="00826D7A" w:rsidRPr="00C70E6B" w:rsidRDefault="00BB4C9E" w:rsidP="000F4CAC">
      <w:pPr>
        <w:pStyle w:val="affffffffb"/>
        <w:ind w:leftChars="350" w:left="1120" w:rightChars="0" w:right="0" w:hangingChars="100" w:hanging="280"/>
        <w:jc w:val="both"/>
        <w:rPr>
          <w:color w:val="000000"/>
        </w:rPr>
      </w:pPr>
      <w:r w:rsidRPr="00C70E6B">
        <w:rPr>
          <w:rFonts w:hint="eastAsia"/>
          <w:color w:val="000000"/>
        </w:rPr>
        <w:t>2.</w:t>
      </w:r>
      <w:r w:rsidR="00A52886" w:rsidRPr="00C70E6B">
        <w:rPr>
          <w:rFonts w:hint="eastAsia"/>
          <w:color w:val="000000"/>
        </w:rPr>
        <w:t>為保障市民飲酒安全，取締販賣非法酒品，加強查察夜店</w:t>
      </w:r>
      <w:r w:rsidR="000F4CAC" w:rsidRPr="00C70E6B">
        <w:rPr>
          <w:rFonts w:hint="eastAsia"/>
          <w:color w:val="000000"/>
        </w:rPr>
        <w:t>(</w:t>
      </w:r>
      <w:r w:rsidR="00A52886" w:rsidRPr="00C70E6B">
        <w:rPr>
          <w:rFonts w:hint="eastAsia"/>
          <w:color w:val="000000"/>
        </w:rPr>
        <w:t>包括酒店、KTV、小吃部及卡拉OK等</w:t>
      </w:r>
      <w:r w:rsidR="000F4CAC" w:rsidRPr="00C70E6B">
        <w:rPr>
          <w:rFonts w:hint="eastAsia"/>
          <w:color w:val="000000"/>
        </w:rPr>
        <w:t>)</w:t>
      </w:r>
      <w:r w:rsidR="00A52886" w:rsidRPr="00C70E6B">
        <w:rPr>
          <w:rFonts w:hint="eastAsia"/>
          <w:color w:val="000000"/>
        </w:rPr>
        <w:t>，截至</w:t>
      </w:r>
      <w:smartTag w:uri="urn:schemas-microsoft-com:office:smarttags" w:element="chsdate">
        <w:smartTagPr>
          <w:attr w:name="Year" w:val="2019"/>
          <w:attr w:name="Month" w:val="6"/>
          <w:attr w:name="Day" w:val="30"/>
          <w:attr w:name="IsLunarDate" w:val="False"/>
          <w:attr w:name="IsROCDate" w:val="False"/>
        </w:smartTagPr>
        <w:r w:rsidR="00A52886" w:rsidRPr="00C70E6B">
          <w:rPr>
            <w:rFonts w:hint="eastAsia"/>
            <w:color w:val="000000"/>
          </w:rPr>
          <w:t>6月30日</w:t>
        </w:r>
      </w:smartTag>
      <w:r w:rsidR="00A52886" w:rsidRPr="00C70E6B">
        <w:rPr>
          <w:rFonts w:hint="eastAsia"/>
          <w:color w:val="000000"/>
        </w:rPr>
        <w:t>止，共計稽查24家，尚無違規情事。</w:t>
      </w:r>
    </w:p>
    <w:p w:rsidR="00A52886" w:rsidRPr="00C70E6B" w:rsidRDefault="00BB4C9E" w:rsidP="000F4CAC">
      <w:pPr>
        <w:pStyle w:val="affffffffb"/>
        <w:ind w:leftChars="350" w:left="1120" w:rightChars="0" w:right="0" w:hangingChars="100" w:hanging="280"/>
        <w:jc w:val="both"/>
        <w:rPr>
          <w:color w:val="000000"/>
        </w:rPr>
      </w:pPr>
      <w:r w:rsidRPr="00C70E6B">
        <w:rPr>
          <w:rFonts w:hint="eastAsia"/>
          <w:color w:val="000000"/>
        </w:rPr>
        <w:t>3.</w:t>
      </w:r>
      <w:r w:rsidR="00A52886" w:rsidRPr="00C70E6B">
        <w:rPr>
          <w:rFonts w:hint="eastAsia"/>
          <w:color w:val="000000"/>
        </w:rPr>
        <w:t>108年查獲涉嫌違反菸酒管理法案件截至</w:t>
      </w:r>
      <w:smartTag w:uri="urn:schemas-microsoft-com:office:smarttags" w:element="chsdate">
        <w:smartTagPr>
          <w:attr w:name="Year" w:val="2019"/>
          <w:attr w:name="Month" w:val="6"/>
          <w:attr w:name="Day" w:val="30"/>
          <w:attr w:name="IsLunarDate" w:val="False"/>
          <w:attr w:name="IsROCDate" w:val="False"/>
        </w:smartTagPr>
        <w:r w:rsidR="00A52886" w:rsidRPr="00C70E6B">
          <w:rPr>
            <w:rFonts w:hint="eastAsia"/>
            <w:color w:val="000000"/>
          </w:rPr>
          <w:t>6月30日</w:t>
        </w:r>
      </w:smartTag>
      <w:r w:rsidR="00A52886" w:rsidRPr="00C70E6B">
        <w:rPr>
          <w:rFonts w:hint="eastAsia"/>
          <w:color w:val="000000"/>
        </w:rPr>
        <w:t>共429件，查獲違規菸品累計為249萬8,321包，市值為1億5,330萬5,662元；查獲違規酒品累計為19萬7,486公升，市值為6,020萬8,432元。</w:t>
      </w:r>
    </w:p>
    <w:p w:rsidR="00A52886" w:rsidRPr="00C70E6B" w:rsidRDefault="000F4CAC" w:rsidP="00BB4C9E">
      <w:pPr>
        <w:pStyle w:val="affffffff9"/>
        <w:spacing w:line="440" w:lineRule="exact"/>
        <w:ind w:leftChars="100" w:left="240"/>
        <w:jc w:val="both"/>
        <w:rPr>
          <w:color w:val="000000"/>
        </w:rPr>
      </w:pPr>
      <w:r w:rsidRPr="00C70E6B">
        <w:rPr>
          <w:rFonts w:hint="eastAsia"/>
          <w:color w:val="000000"/>
        </w:rPr>
        <w:lastRenderedPageBreak/>
        <w:t>(</w:t>
      </w:r>
      <w:r w:rsidR="00A52886" w:rsidRPr="00C70E6B">
        <w:rPr>
          <w:rFonts w:hint="eastAsia"/>
          <w:color w:val="000000"/>
        </w:rPr>
        <w:t>二</w:t>
      </w:r>
      <w:r w:rsidRPr="00C70E6B">
        <w:rPr>
          <w:rFonts w:hint="eastAsia"/>
          <w:color w:val="000000"/>
        </w:rPr>
        <w:t>)</w:t>
      </w:r>
      <w:r w:rsidR="00A52886" w:rsidRPr="00C70E6B">
        <w:rPr>
          <w:rFonts w:hint="eastAsia"/>
          <w:color w:val="000000"/>
        </w:rPr>
        <w:t>菸酒專案查緝績效</w:t>
      </w:r>
    </w:p>
    <w:p w:rsidR="00826D7A" w:rsidRPr="00C70E6B" w:rsidRDefault="00BB4C9E" w:rsidP="000F4CAC">
      <w:pPr>
        <w:pStyle w:val="affffffffb"/>
        <w:ind w:leftChars="350" w:left="1120" w:rightChars="0" w:right="0" w:hangingChars="100" w:hanging="280"/>
        <w:jc w:val="both"/>
        <w:rPr>
          <w:color w:val="000000"/>
        </w:rPr>
      </w:pPr>
      <w:r w:rsidRPr="00C70E6B">
        <w:rPr>
          <w:rFonts w:hint="eastAsia"/>
          <w:color w:val="000000"/>
        </w:rPr>
        <w:t>1.</w:t>
      </w:r>
      <w:r w:rsidR="00A52886" w:rsidRPr="00C70E6B">
        <w:rPr>
          <w:rFonts w:hint="eastAsia"/>
          <w:color w:val="000000"/>
        </w:rPr>
        <w:t>配合財政部108年春節前全國同步查緝私劣菸酒專案，經評定查獲私劣菸品績效為全國第3名；查獲私劣酒品績效為全國第1名。</w:t>
      </w:r>
    </w:p>
    <w:p w:rsidR="00826D7A" w:rsidRPr="00C70E6B" w:rsidRDefault="000F4CAC" w:rsidP="000F4CAC">
      <w:pPr>
        <w:pStyle w:val="affffffffb"/>
        <w:ind w:leftChars="350" w:left="1120" w:rightChars="0" w:right="0" w:hangingChars="100" w:hanging="280"/>
        <w:jc w:val="both"/>
        <w:rPr>
          <w:color w:val="000000"/>
        </w:rPr>
      </w:pPr>
      <w:r w:rsidRPr="00C70E6B">
        <w:rPr>
          <w:rFonts w:hint="eastAsia"/>
          <w:color w:val="000000"/>
        </w:rPr>
        <w:t>2.</w:t>
      </w:r>
      <w:r w:rsidR="00A52886" w:rsidRPr="00C70E6B">
        <w:rPr>
          <w:rFonts w:hint="eastAsia"/>
          <w:color w:val="000000"/>
        </w:rPr>
        <w:t>配合財政部108年第1次不定期全國同步查緝私劣菸酒專案，經評定查獲私劣菸品績效為全國第1名；查獲私劣酒品績效為全國第1名。</w:t>
      </w:r>
    </w:p>
    <w:p w:rsidR="00A52886" w:rsidRPr="00C70E6B" w:rsidRDefault="000F4CAC" w:rsidP="000F4CAC">
      <w:pPr>
        <w:pStyle w:val="affffffffb"/>
        <w:ind w:leftChars="350" w:left="1120" w:rightChars="0" w:right="0" w:hangingChars="100" w:hanging="280"/>
        <w:jc w:val="both"/>
        <w:rPr>
          <w:color w:val="000000"/>
        </w:rPr>
      </w:pPr>
      <w:r w:rsidRPr="00C70E6B">
        <w:rPr>
          <w:rFonts w:hint="eastAsia"/>
          <w:color w:val="000000"/>
        </w:rPr>
        <w:t>3.</w:t>
      </w:r>
      <w:r w:rsidR="00A52886" w:rsidRPr="00C70E6B">
        <w:rPr>
          <w:rFonts w:hint="eastAsia"/>
          <w:color w:val="000000"/>
        </w:rPr>
        <w:t>配合財政部108年端午節前全國同步查緝私劣菸酒專案，經評定查獲私劣菸品績效為全國第3名；查獲私劣酒品績效為全國第1名。</w:t>
      </w:r>
    </w:p>
    <w:p w:rsidR="00A52886" w:rsidRPr="00C70E6B" w:rsidRDefault="000F4CAC" w:rsidP="00BB4C9E">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三</w:t>
      </w:r>
      <w:r w:rsidRPr="00C70E6B">
        <w:rPr>
          <w:rFonts w:hint="eastAsia"/>
          <w:color w:val="000000"/>
        </w:rPr>
        <w:t>)</w:t>
      </w:r>
      <w:r w:rsidR="00A52886" w:rsidRPr="00C70E6B">
        <w:rPr>
          <w:rFonts w:hint="eastAsia"/>
          <w:color w:val="000000"/>
        </w:rPr>
        <w:t>菸酒管理宣導</w:t>
      </w:r>
    </w:p>
    <w:p w:rsidR="00BB4C9E" w:rsidRPr="00C70E6B" w:rsidRDefault="000F4CAC" w:rsidP="000F4CAC">
      <w:pPr>
        <w:pStyle w:val="affffffffb"/>
        <w:ind w:leftChars="350" w:left="1120" w:rightChars="0" w:right="0" w:hangingChars="100" w:hanging="280"/>
        <w:jc w:val="both"/>
        <w:rPr>
          <w:rFonts w:hint="eastAsia"/>
          <w:color w:val="000000"/>
        </w:rPr>
      </w:pPr>
      <w:r w:rsidRPr="00C70E6B">
        <w:rPr>
          <w:rFonts w:hint="eastAsia"/>
          <w:color w:val="000000"/>
        </w:rPr>
        <w:t>1.</w:t>
      </w:r>
      <w:r w:rsidR="00A52886" w:rsidRPr="00C70E6B">
        <w:rPr>
          <w:rFonts w:hint="eastAsia"/>
          <w:color w:val="000000"/>
        </w:rPr>
        <w:t>動態方面：</w:t>
      </w:r>
    </w:p>
    <w:p w:rsidR="00BB4C9E" w:rsidRPr="00C70E6B" w:rsidRDefault="000F4CAC" w:rsidP="000F4CAC">
      <w:pPr>
        <w:pStyle w:val="affffffffb"/>
        <w:ind w:leftChars="450" w:left="1500" w:rightChars="0" w:right="0" w:hangingChars="150" w:hanging="420"/>
        <w:jc w:val="both"/>
        <w:rPr>
          <w:rFonts w:hint="eastAsia"/>
          <w:color w:val="000000"/>
        </w:rPr>
      </w:pPr>
      <w:r w:rsidRPr="00C70E6B">
        <w:rPr>
          <w:rFonts w:hint="eastAsia"/>
          <w:color w:val="000000"/>
        </w:rPr>
        <w:t>(1)</w:t>
      </w:r>
      <w:r w:rsidR="00A52886" w:rsidRPr="00C70E6B">
        <w:rPr>
          <w:rFonts w:hint="eastAsia"/>
          <w:color w:val="000000"/>
        </w:rPr>
        <w:t>執行民眾法令宣導</w:t>
      </w:r>
      <w:r w:rsidRPr="00C70E6B">
        <w:rPr>
          <w:rFonts w:hint="eastAsia"/>
          <w:color w:val="000000"/>
        </w:rPr>
        <w:t>(</w:t>
      </w:r>
      <w:r w:rsidR="00A52886" w:rsidRPr="00C70E6B">
        <w:rPr>
          <w:rFonts w:hint="eastAsia"/>
          <w:color w:val="000000"/>
        </w:rPr>
        <w:t>13場次</w:t>
      </w:r>
      <w:r w:rsidRPr="00C70E6B">
        <w:rPr>
          <w:rFonts w:hint="eastAsia"/>
          <w:color w:val="000000"/>
        </w:rPr>
        <w:t>)</w:t>
      </w:r>
      <w:r w:rsidR="00A52886" w:rsidRPr="00C70E6B">
        <w:rPr>
          <w:rFonts w:hint="eastAsia"/>
          <w:color w:val="000000"/>
        </w:rPr>
        <w:t>、業者法令宣導</w:t>
      </w:r>
      <w:r w:rsidRPr="00C70E6B">
        <w:rPr>
          <w:rFonts w:hint="eastAsia"/>
          <w:color w:val="000000"/>
        </w:rPr>
        <w:t>(</w:t>
      </w:r>
      <w:r w:rsidR="00A52886" w:rsidRPr="00C70E6B">
        <w:rPr>
          <w:rFonts w:hint="eastAsia"/>
          <w:color w:val="000000"/>
        </w:rPr>
        <w:t>83場次</w:t>
      </w:r>
      <w:r w:rsidRPr="00C70E6B">
        <w:rPr>
          <w:rFonts w:hint="eastAsia"/>
          <w:color w:val="000000"/>
        </w:rPr>
        <w:t>)</w:t>
      </w:r>
      <w:r w:rsidR="00A52886" w:rsidRPr="00C70E6B">
        <w:rPr>
          <w:rFonts w:hint="eastAsia"/>
          <w:color w:val="000000"/>
        </w:rPr>
        <w:t>合計宣導96場次，人數約13,000人，主動積極規劃朝多元化方式進行，如針對基層民眾擴大菸酒法令常識宣導；結合藝文團體及公益活動，於宣導活動中融入文化、藝術等元素，以提昇宣導效果。</w:t>
      </w:r>
    </w:p>
    <w:p w:rsidR="00826D7A" w:rsidRPr="00C70E6B" w:rsidRDefault="000F4CAC" w:rsidP="000F4CAC">
      <w:pPr>
        <w:pStyle w:val="affffffffb"/>
        <w:ind w:leftChars="450" w:left="1500" w:rightChars="0" w:right="0" w:hangingChars="150" w:hanging="420"/>
        <w:jc w:val="both"/>
        <w:rPr>
          <w:color w:val="000000"/>
        </w:rPr>
      </w:pPr>
      <w:r w:rsidRPr="00C70E6B">
        <w:rPr>
          <w:rFonts w:hint="eastAsia"/>
          <w:color w:val="000000"/>
        </w:rPr>
        <w:t>(2)</w:t>
      </w:r>
      <w:r w:rsidR="00A52886" w:rsidRPr="00C70E6B">
        <w:rPr>
          <w:rFonts w:hint="eastAsia"/>
          <w:color w:val="000000"/>
        </w:rPr>
        <w:t>積極配合中央及市府各機關舉辦之各項大型市政宣導活動，如結合財政部國稅局舉辦「2019假日市集採GO趣.發票兌奬APP租稅宣導活動」、「兌奬online.便利超high租稅宣導活動」、運動發展局舉辦「2019高雄愛河端午嘉年華暨龍舟錦標賽」、教育局舉辦「108年祝慶母親節暨515國際家庭日活動」等活動，以透過其書面文宣、大型看板版面印製宣導標語及前往現場設攤等方式宣導菸酒法令。</w:t>
      </w:r>
    </w:p>
    <w:p w:rsidR="000F4CAC" w:rsidRPr="00C70E6B" w:rsidRDefault="000F4CAC" w:rsidP="000F4CAC">
      <w:pPr>
        <w:pStyle w:val="affffffffb"/>
        <w:ind w:leftChars="350" w:left="1120" w:rightChars="0" w:right="0" w:hangingChars="100" w:hanging="280"/>
        <w:jc w:val="both"/>
        <w:rPr>
          <w:rFonts w:hint="eastAsia"/>
          <w:color w:val="000000"/>
        </w:rPr>
      </w:pPr>
      <w:r w:rsidRPr="00C70E6B">
        <w:rPr>
          <w:rFonts w:hint="eastAsia"/>
          <w:color w:val="000000"/>
        </w:rPr>
        <w:t>2.</w:t>
      </w:r>
      <w:r w:rsidR="00A52886" w:rsidRPr="00C70E6B">
        <w:rPr>
          <w:rFonts w:hint="eastAsia"/>
          <w:color w:val="000000"/>
        </w:rPr>
        <w:t>靜態方面：</w:t>
      </w:r>
    </w:p>
    <w:p w:rsidR="000F4CAC" w:rsidRPr="00C70E6B" w:rsidRDefault="00826D7A" w:rsidP="000F4CAC">
      <w:pPr>
        <w:pStyle w:val="affffffffb"/>
        <w:ind w:leftChars="450" w:left="1500" w:rightChars="0" w:right="0" w:hangingChars="150" w:hanging="420"/>
        <w:jc w:val="both"/>
        <w:rPr>
          <w:rFonts w:hint="eastAsia"/>
          <w:color w:val="000000"/>
        </w:rPr>
      </w:pPr>
      <w:r w:rsidRPr="00C70E6B">
        <w:rPr>
          <w:rFonts w:hint="eastAsia"/>
          <w:color w:val="000000"/>
        </w:rPr>
        <w:t>(</w:t>
      </w:r>
      <w:r w:rsidR="00A52886" w:rsidRPr="00C70E6B">
        <w:rPr>
          <w:rFonts w:hint="eastAsia"/>
          <w:color w:val="000000"/>
        </w:rPr>
        <w:t>1</w:t>
      </w:r>
      <w:r w:rsidRPr="00C70E6B">
        <w:rPr>
          <w:rFonts w:hint="eastAsia"/>
          <w:color w:val="000000"/>
        </w:rPr>
        <w:t>)</w:t>
      </w:r>
      <w:r w:rsidR="00A52886" w:rsidRPr="00C70E6B">
        <w:rPr>
          <w:rFonts w:hint="eastAsia"/>
          <w:color w:val="000000"/>
        </w:rPr>
        <w:t>分別透過台灣新生報、中國時報、蘋果日報等報章雜誌宣導不得以自動販賣機、郵購、電子購物等方式販賣或轉讓菸酒品等相關菸酒法令。</w:t>
      </w:r>
    </w:p>
    <w:p w:rsidR="000F4CAC" w:rsidRPr="00C70E6B" w:rsidRDefault="00A52886" w:rsidP="000F4CAC">
      <w:pPr>
        <w:pStyle w:val="affffffffb"/>
        <w:ind w:leftChars="450" w:left="1500" w:rightChars="0" w:right="0" w:hangingChars="150" w:hanging="420"/>
        <w:jc w:val="both"/>
        <w:rPr>
          <w:rFonts w:hint="eastAsia"/>
          <w:color w:val="000000"/>
        </w:rPr>
      </w:pPr>
      <w:r w:rsidRPr="00C70E6B">
        <w:rPr>
          <w:rFonts w:hint="eastAsia"/>
          <w:color w:val="000000"/>
        </w:rPr>
        <w:t>(2)委託正聲廣播電台製播菸酒法令宣導內容，針對不同族群呼籲民眾勿購買來路不明菸酒品及網路不得販售菸酒品等相關菸酒法令，提昇民眾對菸酒常識的認知。</w:t>
      </w:r>
    </w:p>
    <w:p w:rsidR="000F4CAC" w:rsidRPr="00C70E6B" w:rsidRDefault="00A52886" w:rsidP="000F4CAC">
      <w:pPr>
        <w:pStyle w:val="affffffffb"/>
        <w:ind w:leftChars="450" w:left="1500" w:rightChars="0" w:right="0" w:hangingChars="150" w:hanging="420"/>
        <w:jc w:val="both"/>
        <w:rPr>
          <w:rFonts w:hint="eastAsia"/>
          <w:color w:val="000000"/>
        </w:rPr>
      </w:pPr>
      <w:r w:rsidRPr="00C70E6B">
        <w:rPr>
          <w:rFonts w:hint="eastAsia"/>
          <w:color w:val="000000"/>
        </w:rPr>
        <w:t>(3)於人事行政總處「e等公務園」數位學習平台-港都e學苑微學習專區播放菸酒法令宣導廣告。</w:t>
      </w:r>
    </w:p>
    <w:p w:rsidR="000F4CAC" w:rsidRPr="00C70E6B" w:rsidRDefault="00A52886" w:rsidP="000F4CAC">
      <w:pPr>
        <w:pStyle w:val="affffffffb"/>
        <w:ind w:leftChars="450" w:left="1500" w:rightChars="0" w:right="0" w:hangingChars="150" w:hanging="420"/>
        <w:jc w:val="both"/>
        <w:rPr>
          <w:rFonts w:hint="eastAsia"/>
          <w:color w:val="000000"/>
        </w:rPr>
      </w:pPr>
      <w:r w:rsidRPr="00C70E6B">
        <w:rPr>
          <w:rFonts w:hint="eastAsia"/>
          <w:color w:val="000000"/>
        </w:rPr>
        <w:t>(4)為維護市民健康及權益，利用本府四維行政中心所設置之市政資訊導覽機播放菸酒法令宣導短片，以加強民眾對菸酒法令的基本常識。</w:t>
      </w:r>
    </w:p>
    <w:p w:rsidR="000F4CAC" w:rsidRPr="00C70E6B" w:rsidRDefault="00A52886" w:rsidP="000F4CAC">
      <w:pPr>
        <w:pStyle w:val="affffffffb"/>
        <w:ind w:leftChars="450" w:left="1500" w:rightChars="0" w:right="0" w:hangingChars="150" w:hanging="420"/>
        <w:jc w:val="both"/>
        <w:rPr>
          <w:rFonts w:hint="eastAsia"/>
          <w:color w:val="000000"/>
        </w:rPr>
      </w:pPr>
      <w:r w:rsidRPr="00C70E6B">
        <w:rPr>
          <w:rFonts w:hint="eastAsia"/>
          <w:color w:val="000000"/>
        </w:rPr>
        <w:t>(5</w:t>
      </w:r>
      <w:r w:rsidR="000F4CAC" w:rsidRPr="00C70E6B">
        <w:rPr>
          <w:rFonts w:hint="eastAsia"/>
          <w:color w:val="000000"/>
        </w:rPr>
        <w:t>)</w:t>
      </w:r>
      <w:r w:rsidRPr="00C70E6B">
        <w:rPr>
          <w:rFonts w:hint="eastAsia"/>
          <w:color w:val="000000"/>
        </w:rPr>
        <w:t>結合本府交通局利用本市公車候車亭製作8座廣告宣導看板，強化民眾對菸酒法令認知並配合財政部宣導最新菸酒法令。</w:t>
      </w:r>
    </w:p>
    <w:p w:rsidR="00A52886" w:rsidRPr="00C70E6B" w:rsidRDefault="00A52886" w:rsidP="000F4CAC">
      <w:pPr>
        <w:pStyle w:val="affffffffb"/>
        <w:ind w:leftChars="450" w:left="1500" w:rightChars="0" w:right="0" w:hangingChars="150" w:hanging="420"/>
        <w:jc w:val="both"/>
        <w:rPr>
          <w:color w:val="000000"/>
        </w:rPr>
      </w:pPr>
      <w:r w:rsidRPr="00C70E6B">
        <w:rPr>
          <w:rFonts w:hint="eastAsia"/>
          <w:color w:val="000000"/>
        </w:rPr>
        <w:t>(6)為提昇民眾對菸酒法令的認知，製作宣導立牌及摺頁分別置放於本局所屬稅捐處暨分處及動產質借所向往來洽公民眾宣導，以擴大宣導效益。</w:t>
      </w:r>
    </w:p>
    <w:p w:rsidR="00A52886" w:rsidRPr="00C70E6B" w:rsidRDefault="000F4CAC" w:rsidP="00BB4C9E">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四</w:t>
      </w:r>
      <w:r w:rsidRPr="00C70E6B">
        <w:rPr>
          <w:rFonts w:hint="eastAsia"/>
          <w:color w:val="000000"/>
        </w:rPr>
        <w:t>)</w:t>
      </w:r>
      <w:r w:rsidR="00A52886" w:rsidRPr="00C70E6B">
        <w:rPr>
          <w:rFonts w:hint="eastAsia"/>
          <w:color w:val="000000"/>
        </w:rPr>
        <w:t>私劣菸酒銷毀</w:t>
      </w:r>
    </w:p>
    <w:p w:rsidR="00A52886" w:rsidRPr="00C70E6B" w:rsidRDefault="00A52886" w:rsidP="000F4CAC">
      <w:pPr>
        <w:pStyle w:val="affffffff3"/>
        <w:ind w:leftChars="350" w:left="840" w:rightChars="110" w:right="264"/>
        <w:jc w:val="both"/>
        <w:rPr>
          <w:color w:val="000000"/>
        </w:rPr>
      </w:pPr>
      <w:r w:rsidRPr="00C70E6B">
        <w:rPr>
          <w:rFonts w:hint="eastAsia"/>
          <w:color w:val="000000"/>
        </w:rPr>
        <w:t>截至</w:t>
      </w:r>
      <w:smartTag w:uri="urn:schemas-microsoft-com:office:smarttags" w:element="chsdate">
        <w:smartTagPr>
          <w:attr w:name="IsROCDate" w:val="False"/>
          <w:attr w:name="IsLunarDate" w:val="False"/>
          <w:attr w:name="Day" w:val="30"/>
          <w:attr w:name="Month" w:val="6"/>
          <w:attr w:name="Year" w:val="2019"/>
        </w:smartTagPr>
        <w:r w:rsidRPr="00C70E6B">
          <w:rPr>
            <w:rFonts w:hint="eastAsia"/>
            <w:color w:val="000000"/>
          </w:rPr>
          <w:t>6月30日</w:t>
        </w:r>
      </w:smartTag>
      <w:r w:rsidRPr="00C70E6B">
        <w:rPr>
          <w:rFonts w:hint="eastAsia"/>
          <w:color w:val="000000"/>
        </w:rPr>
        <w:t>止，辦理3次銷毀已判決</w:t>
      </w:r>
      <w:r w:rsidR="000F4CAC" w:rsidRPr="00C70E6B">
        <w:rPr>
          <w:rFonts w:hint="eastAsia"/>
          <w:color w:val="000000"/>
        </w:rPr>
        <w:t>(</w:t>
      </w:r>
      <w:r w:rsidRPr="00C70E6B">
        <w:rPr>
          <w:rFonts w:hint="eastAsia"/>
          <w:color w:val="000000"/>
        </w:rPr>
        <w:t>裁處</w:t>
      </w:r>
      <w:r w:rsidR="000F4CAC" w:rsidRPr="00C70E6B">
        <w:rPr>
          <w:rFonts w:hint="eastAsia"/>
          <w:color w:val="000000"/>
        </w:rPr>
        <w:t>)</w:t>
      </w:r>
      <w:r w:rsidRPr="00C70E6B">
        <w:rPr>
          <w:rFonts w:hint="eastAsia"/>
          <w:color w:val="000000"/>
        </w:rPr>
        <w:t>之沒收、沒入物品(含以前年度)，計銷毀98案，總計銷毀菸品161萬4,912包及酒品1萬9,475.38公升。</w:t>
      </w:r>
    </w:p>
    <w:p w:rsidR="00A52886" w:rsidRPr="00C70E6B" w:rsidRDefault="00A52886" w:rsidP="000F4CAC">
      <w:pPr>
        <w:pStyle w:val="affffffff7"/>
        <w:spacing w:beforeLines="50" w:before="180" w:after="0" w:line="440" w:lineRule="exact"/>
        <w:jc w:val="both"/>
        <w:rPr>
          <w:rFonts w:ascii="標楷體" w:eastAsia="標楷體" w:hAnsi="標楷體"/>
          <w:color w:val="000000"/>
        </w:rPr>
      </w:pPr>
      <w:r w:rsidRPr="00C70E6B">
        <w:rPr>
          <w:rFonts w:ascii="標楷體" w:eastAsia="標楷體" w:hAnsi="標楷體" w:hint="eastAsia"/>
          <w:color w:val="000000"/>
        </w:rPr>
        <w:t>四、市有公用財產管理</w:t>
      </w:r>
    </w:p>
    <w:p w:rsidR="00826D7A" w:rsidRPr="00C70E6B" w:rsidRDefault="000F4CAC" w:rsidP="000F4CAC">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一</w:t>
      </w:r>
      <w:r w:rsidRPr="00C70E6B">
        <w:rPr>
          <w:rFonts w:hint="eastAsia"/>
          <w:color w:val="000000"/>
        </w:rPr>
        <w:t>)</w:t>
      </w:r>
      <w:r w:rsidR="00A52886" w:rsidRPr="00C70E6B">
        <w:rPr>
          <w:rFonts w:hint="eastAsia"/>
          <w:color w:val="000000"/>
        </w:rPr>
        <w:t>清理非都市計畫市有地，強化市有財產管理</w:t>
      </w:r>
    </w:p>
    <w:p w:rsidR="00A52886" w:rsidRPr="00C70E6B" w:rsidRDefault="00A52886" w:rsidP="000F4CAC">
      <w:pPr>
        <w:pStyle w:val="affffffff3"/>
        <w:ind w:leftChars="350" w:left="840" w:rightChars="110" w:right="264"/>
        <w:jc w:val="both"/>
        <w:rPr>
          <w:color w:val="000000"/>
        </w:rPr>
      </w:pPr>
      <w:r w:rsidRPr="00C70E6B">
        <w:rPr>
          <w:rFonts w:hint="eastAsia"/>
          <w:color w:val="000000"/>
        </w:rPr>
        <w:t>原高雄縣縣有及鄉鎮有屬非都市計畫土地，因部分土地未編定使用分區及使</w:t>
      </w:r>
      <w:r w:rsidRPr="00C70E6B">
        <w:rPr>
          <w:rFonts w:hint="eastAsia"/>
          <w:color w:val="000000"/>
        </w:rPr>
        <w:lastRenderedPageBreak/>
        <w:t>用地類別，暫無法指定管理機關。經依地政局提供之地籍資料，逐筆釐清約</w:t>
      </w:r>
      <w:r w:rsidR="00703A05">
        <w:rPr>
          <w:rFonts w:hint="eastAsia"/>
          <w:color w:val="000000"/>
        </w:rPr>
        <w:t>424</w:t>
      </w:r>
      <w:r w:rsidRPr="00C70E6B">
        <w:rPr>
          <w:rFonts w:hint="eastAsia"/>
          <w:color w:val="000000"/>
        </w:rPr>
        <w:t>筆，尚未指定</w:t>
      </w:r>
      <w:r w:rsidR="00703A05">
        <w:rPr>
          <w:rFonts w:hint="eastAsia"/>
          <w:color w:val="000000"/>
        </w:rPr>
        <w:t>43筆</w:t>
      </w:r>
      <w:r w:rsidRPr="00C70E6B">
        <w:rPr>
          <w:rFonts w:hint="eastAsia"/>
          <w:color w:val="000000"/>
        </w:rPr>
        <w:t>將賡續清理。</w:t>
      </w:r>
    </w:p>
    <w:p w:rsidR="00A52886" w:rsidRPr="00C70E6B" w:rsidRDefault="000F4CAC" w:rsidP="000F4CAC">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二</w:t>
      </w:r>
      <w:r w:rsidRPr="00C70E6B">
        <w:rPr>
          <w:rFonts w:hint="eastAsia"/>
          <w:color w:val="000000"/>
        </w:rPr>
        <w:t>)</w:t>
      </w:r>
      <w:r w:rsidR="00A52886" w:rsidRPr="00C70E6B">
        <w:rPr>
          <w:rFonts w:hint="eastAsia"/>
          <w:color w:val="000000"/>
        </w:rPr>
        <w:t>推動「高雄市市有財產管理資訊系統」之運用</w:t>
      </w:r>
    </w:p>
    <w:p w:rsidR="00A52886" w:rsidRPr="00C70E6B" w:rsidRDefault="00A52886" w:rsidP="000F4CAC">
      <w:pPr>
        <w:pStyle w:val="affffffff3"/>
        <w:ind w:leftChars="350" w:left="840" w:rightChars="110" w:right="264"/>
        <w:jc w:val="both"/>
        <w:rPr>
          <w:color w:val="000000"/>
        </w:rPr>
      </w:pPr>
      <w:r w:rsidRPr="00C70E6B">
        <w:rPr>
          <w:rFonts w:hint="eastAsia"/>
          <w:color w:val="000000"/>
        </w:rPr>
        <w:t>市府各機關學校已將財產資料納入系統管理，全面使用「市有財產管理資訊系統」執行財產管理相關作業。為符合各機關需求及及增加外業會勘所需，持續擴充系統架構及資料庫結構，強化市有財產管理相關系統功能，提昇管理績效。</w:t>
      </w:r>
    </w:p>
    <w:p w:rsidR="00A52886" w:rsidRPr="00C70E6B" w:rsidRDefault="000F4CAC" w:rsidP="000F4CAC">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三</w:t>
      </w:r>
      <w:r w:rsidRPr="00C70E6B">
        <w:rPr>
          <w:rFonts w:hint="eastAsia"/>
          <w:color w:val="000000"/>
        </w:rPr>
        <w:t>)</w:t>
      </w:r>
      <w:r w:rsidR="00A52886" w:rsidRPr="00C70E6B">
        <w:rPr>
          <w:rFonts w:hint="eastAsia"/>
          <w:color w:val="000000"/>
        </w:rPr>
        <w:t>辦理財產管理教育訓練，提昇財產管理績效</w:t>
      </w:r>
    </w:p>
    <w:p w:rsidR="00A52886" w:rsidRPr="00C70E6B" w:rsidRDefault="00A52886" w:rsidP="000F4CAC">
      <w:pPr>
        <w:pStyle w:val="affffffff3"/>
        <w:ind w:leftChars="350" w:left="840" w:rightChars="110" w:right="264"/>
        <w:jc w:val="both"/>
        <w:rPr>
          <w:color w:val="000000"/>
        </w:rPr>
      </w:pPr>
      <w:r w:rsidRPr="00C70E6B">
        <w:rPr>
          <w:rFonts w:hint="eastAsia"/>
          <w:color w:val="000000"/>
        </w:rPr>
        <w:t>為加強市府各機關學校財管人員對市有財產系統操作之熟悉度，及加強市有財產之保管、使用及收益，針對財管人員舉辦教育訓練，總計受訓人數約</w:t>
      </w:r>
      <w:r w:rsidR="00703A05">
        <w:rPr>
          <w:rFonts w:hint="eastAsia"/>
          <w:color w:val="000000"/>
        </w:rPr>
        <w:t>491</w:t>
      </w:r>
      <w:r w:rsidRPr="00C70E6B">
        <w:rPr>
          <w:rFonts w:hint="eastAsia"/>
          <w:color w:val="000000"/>
        </w:rPr>
        <w:t>人，藉此導正財產管理部分缺失及解決問題，增進財產管理人員財產管理知能與常識，提昇財產使用效能。</w:t>
      </w:r>
    </w:p>
    <w:p w:rsidR="00A52886" w:rsidRPr="00C70E6B" w:rsidRDefault="000F4CAC" w:rsidP="000F4CAC">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四</w:t>
      </w:r>
      <w:r w:rsidRPr="00C70E6B">
        <w:rPr>
          <w:rFonts w:hint="eastAsia"/>
          <w:color w:val="000000"/>
        </w:rPr>
        <w:t>)</w:t>
      </w:r>
      <w:r w:rsidR="00A52886" w:rsidRPr="00C70E6B">
        <w:rPr>
          <w:rFonts w:hint="eastAsia"/>
          <w:color w:val="000000"/>
        </w:rPr>
        <w:t>促進資源再利用，增裕市庫收入</w:t>
      </w:r>
    </w:p>
    <w:p w:rsidR="00A52886" w:rsidRPr="00C70E6B" w:rsidRDefault="00A52886" w:rsidP="000F4CAC">
      <w:pPr>
        <w:pStyle w:val="affffffff3"/>
        <w:ind w:leftChars="350" w:left="840" w:rightChars="110" w:right="264"/>
        <w:jc w:val="both"/>
        <w:rPr>
          <w:color w:val="000000"/>
        </w:rPr>
      </w:pPr>
      <w:r w:rsidRPr="00C70E6B">
        <w:rPr>
          <w:rFonts w:hint="eastAsia"/>
          <w:color w:val="000000"/>
        </w:rPr>
        <w:t>宣導各機關報廢物品多利用「台北惜物網」交易平台標售，以促進資源再利用，增裕市庫收入。截至108年6月30日止，運用網路平台拍賣共計拍出7,099項物件，總金額約1,183萬9仟餘元。</w:t>
      </w:r>
    </w:p>
    <w:p w:rsidR="00A52886" w:rsidRPr="00C70E6B" w:rsidRDefault="000F4CAC" w:rsidP="000F4CAC">
      <w:pPr>
        <w:pStyle w:val="affffffff9"/>
        <w:spacing w:line="440" w:lineRule="exact"/>
        <w:ind w:leftChars="100" w:left="801" w:hangingChars="200" w:hanging="561"/>
        <w:jc w:val="both"/>
        <w:rPr>
          <w:color w:val="000000"/>
        </w:rPr>
      </w:pPr>
      <w:r w:rsidRPr="00C70E6B">
        <w:rPr>
          <w:rFonts w:hint="eastAsia"/>
          <w:color w:val="000000"/>
        </w:rPr>
        <w:t>(</w:t>
      </w:r>
      <w:r w:rsidR="00A52886" w:rsidRPr="00C70E6B">
        <w:rPr>
          <w:rFonts w:hint="eastAsia"/>
          <w:color w:val="000000"/>
        </w:rPr>
        <w:t>五</w:t>
      </w:r>
      <w:r w:rsidRPr="00C70E6B">
        <w:rPr>
          <w:rFonts w:hint="eastAsia"/>
          <w:color w:val="000000"/>
        </w:rPr>
        <w:t>)</w:t>
      </w:r>
      <w:r w:rsidR="00A52886" w:rsidRPr="00C70E6B">
        <w:rPr>
          <w:rFonts w:hint="eastAsia"/>
          <w:color w:val="000000"/>
        </w:rPr>
        <w:t>強化「高雄市空間再利用資訊整合平台」功能，提升市有資產運用效益，避免閒置浪費</w:t>
      </w:r>
    </w:p>
    <w:p w:rsidR="00A52886" w:rsidRPr="00C70E6B" w:rsidRDefault="00A52886" w:rsidP="000F4CAC">
      <w:pPr>
        <w:pStyle w:val="affffffff3"/>
        <w:ind w:leftChars="350" w:left="840" w:rightChars="110" w:right="264"/>
        <w:jc w:val="both"/>
        <w:rPr>
          <w:color w:val="000000"/>
        </w:rPr>
      </w:pPr>
      <w:r w:rsidRPr="00C70E6B">
        <w:rPr>
          <w:rFonts w:hint="eastAsia"/>
          <w:color w:val="000000"/>
        </w:rPr>
        <w:t>督促各機關確實執行「高雄市市有閒置及低度利用房地清理利用計畫」，並將清查後閒置或低度使用之不動產，更新於本市空間再利用資訊整合平台，透過平台媒合，以加速推動市政建設，減少財政支出，增裕市庫收入，帶動經濟繁榮。</w:t>
      </w:r>
    </w:p>
    <w:p w:rsidR="00A52886" w:rsidRPr="00C70E6B" w:rsidRDefault="00A52886" w:rsidP="000F4CAC">
      <w:pPr>
        <w:pStyle w:val="affffffff7"/>
        <w:spacing w:beforeLines="50" w:before="180" w:after="0" w:line="440" w:lineRule="exact"/>
        <w:jc w:val="both"/>
        <w:rPr>
          <w:rFonts w:ascii="標楷體" w:eastAsia="標楷體" w:hAnsi="標楷體"/>
          <w:color w:val="000000"/>
        </w:rPr>
      </w:pPr>
      <w:r w:rsidRPr="00C70E6B">
        <w:rPr>
          <w:rFonts w:ascii="標楷體" w:eastAsia="標楷體" w:hAnsi="標楷體" w:hint="eastAsia"/>
          <w:color w:val="000000"/>
        </w:rPr>
        <w:t>五</w:t>
      </w:r>
      <w:r w:rsidRPr="00C70E6B">
        <w:rPr>
          <w:rFonts w:ascii="標楷體" w:eastAsia="標楷體" w:hAnsi="標楷體"/>
          <w:color w:val="000000"/>
        </w:rPr>
        <w:t>、市有非公用財產管理</w:t>
      </w:r>
      <w:r w:rsidRPr="00C70E6B">
        <w:rPr>
          <w:rFonts w:ascii="標楷體" w:eastAsia="標楷體" w:hAnsi="標楷體" w:hint="eastAsia"/>
          <w:color w:val="000000"/>
        </w:rPr>
        <w:t xml:space="preserve"> </w:t>
      </w:r>
    </w:p>
    <w:p w:rsidR="00A52886" w:rsidRPr="00C70E6B" w:rsidRDefault="00A52886" w:rsidP="000F4CAC">
      <w:pPr>
        <w:pStyle w:val="affffffff9"/>
        <w:spacing w:line="440" w:lineRule="exact"/>
        <w:ind w:leftChars="100" w:left="801" w:hangingChars="200" w:hanging="561"/>
        <w:jc w:val="both"/>
        <w:rPr>
          <w:color w:val="000000"/>
        </w:rPr>
      </w:pPr>
      <w:r w:rsidRPr="00C70E6B">
        <w:rPr>
          <w:rFonts w:hint="eastAsia"/>
          <w:color w:val="000000"/>
        </w:rPr>
        <w:t>(</w:t>
      </w:r>
      <w:r w:rsidRPr="00C70E6B">
        <w:rPr>
          <w:color w:val="000000"/>
        </w:rPr>
        <w:t>一</w:t>
      </w:r>
      <w:r w:rsidRPr="00C70E6B">
        <w:rPr>
          <w:rFonts w:hint="eastAsia"/>
          <w:color w:val="000000"/>
        </w:rPr>
        <w:t>)</w:t>
      </w:r>
      <w:r w:rsidRPr="00C70E6B">
        <w:rPr>
          <w:color w:val="000000"/>
        </w:rPr>
        <w:t>一般市有非公用土地管理情形</w:t>
      </w:r>
    </w:p>
    <w:p w:rsidR="00826D7A" w:rsidRPr="00C70E6B" w:rsidRDefault="000F4CAC" w:rsidP="000F4CAC">
      <w:pPr>
        <w:pStyle w:val="affffffffb"/>
        <w:ind w:leftChars="350" w:left="1120" w:rightChars="0" w:right="0" w:hangingChars="100" w:hanging="280"/>
        <w:jc w:val="both"/>
        <w:rPr>
          <w:color w:val="000000"/>
        </w:rPr>
      </w:pPr>
      <w:r w:rsidRPr="00C70E6B">
        <w:rPr>
          <w:rFonts w:hint="eastAsia"/>
          <w:color w:val="000000"/>
        </w:rPr>
        <w:t>1.</w:t>
      </w:r>
      <w:r w:rsidR="00A52886" w:rsidRPr="00C70E6B">
        <w:rPr>
          <w:rFonts w:hint="eastAsia"/>
          <w:color w:val="000000"/>
        </w:rPr>
        <w:t>出租：截至</w:t>
      </w:r>
      <w:r w:rsidR="00A52886" w:rsidRPr="00C70E6B">
        <w:rPr>
          <w:color w:val="000000"/>
        </w:rPr>
        <w:t>10</w:t>
      </w:r>
      <w:r w:rsidR="00A52886" w:rsidRPr="00C70E6B">
        <w:rPr>
          <w:rFonts w:hint="eastAsia"/>
          <w:color w:val="000000"/>
        </w:rPr>
        <w:t>8年6月底，承租戶共2,852戶、租金收入共計4,046萬元。</w:t>
      </w:r>
    </w:p>
    <w:p w:rsidR="00826D7A" w:rsidRPr="00C70E6B" w:rsidRDefault="000F4CAC" w:rsidP="000F4CAC">
      <w:pPr>
        <w:pStyle w:val="affffffffb"/>
        <w:ind w:leftChars="350" w:left="1120" w:rightChars="0" w:right="0" w:hangingChars="100" w:hanging="280"/>
        <w:jc w:val="both"/>
        <w:rPr>
          <w:color w:val="000000"/>
        </w:rPr>
      </w:pPr>
      <w:r w:rsidRPr="00C70E6B">
        <w:rPr>
          <w:rFonts w:hint="eastAsia"/>
          <w:color w:val="000000"/>
        </w:rPr>
        <w:t>2.</w:t>
      </w:r>
      <w:r w:rsidR="00A52886" w:rsidRPr="00C70E6B">
        <w:rPr>
          <w:rFonts w:hint="eastAsia"/>
          <w:color w:val="000000"/>
        </w:rPr>
        <w:t>占用：截至</w:t>
      </w:r>
      <w:r w:rsidR="00A52886" w:rsidRPr="00C70E6B">
        <w:rPr>
          <w:color w:val="000000"/>
        </w:rPr>
        <w:t>10</w:t>
      </w:r>
      <w:r w:rsidR="00A52886" w:rsidRPr="00C70E6B">
        <w:rPr>
          <w:rFonts w:hint="eastAsia"/>
          <w:color w:val="000000"/>
        </w:rPr>
        <w:t>8年6月底，占用戶共1,686戶、使用補償金收入共計33萬元。</w:t>
      </w:r>
    </w:p>
    <w:p w:rsidR="00826D7A" w:rsidRPr="00C70E6B" w:rsidRDefault="000F4CAC" w:rsidP="000F4CAC">
      <w:pPr>
        <w:pStyle w:val="affffffffb"/>
        <w:ind w:leftChars="350" w:left="1120" w:rightChars="0" w:right="0" w:hangingChars="100" w:hanging="280"/>
        <w:jc w:val="both"/>
        <w:rPr>
          <w:color w:val="000000"/>
        </w:rPr>
      </w:pPr>
      <w:r w:rsidRPr="00C70E6B">
        <w:rPr>
          <w:rFonts w:hint="eastAsia"/>
          <w:color w:val="000000"/>
        </w:rPr>
        <w:t>3.</w:t>
      </w:r>
      <w:r w:rsidR="00A52886" w:rsidRPr="00C70E6B">
        <w:rPr>
          <w:rFonts w:hint="eastAsia"/>
          <w:color w:val="000000"/>
        </w:rPr>
        <w:t>出售：截至</w:t>
      </w:r>
      <w:r w:rsidR="00A52886" w:rsidRPr="00C70E6B">
        <w:rPr>
          <w:color w:val="000000"/>
        </w:rPr>
        <w:t>1</w:t>
      </w:r>
      <w:r w:rsidR="00A52886" w:rsidRPr="00C70E6B">
        <w:rPr>
          <w:rFonts w:hint="eastAsia"/>
          <w:color w:val="000000"/>
        </w:rPr>
        <w:t>08年6月底市有非公用土地讓售售價收入共計6億1,400萬元。</w:t>
      </w:r>
    </w:p>
    <w:p w:rsidR="00A52886" w:rsidRPr="00C70E6B" w:rsidRDefault="00A52886" w:rsidP="000F4CAC">
      <w:pPr>
        <w:pStyle w:val="affffffff9"/>
        <w:spacing w:line="440" w:lineRule="exact"/>
        <w:ind w:leftChars="100" w:left="801" w:hangingChars="200" w:hanging="561"/>
        <w:jc w:val="both"/>
        <w:rPr>
          <w:color w:val="000000"/>
        </w:rPr>
      </w:pPr>
      <w:r w:rsidRPr="00C70E6B">
        <w:rPr>
          <w:rFonts w:hint="eastAsia"/>
          <w:color w:val="000000"/>
        </w:rPr>
        <w:t>(二)市有非公用土地被占用，拆除地上物收回土地情形</w:t>
      </w:r>
    </w:p>
    <w:p w:rsidR="00A52886" w:rsidRPr="00C70E6B" w:rsidRDefault="00A52886" w:rsidP="000F4CAC">
      <w:pPr>
        <w:pStyle w:val="affffffff3"/>
        <w:ind w:leftChars="350" w:left="840" w:rightChars="110" w:right="264"/>
        <w:jc w:val="both"/>
        <w:rPr>
          <w:color w:val="000000"/>
        </w:rPr>
      </w:pPr>
      <w:r w:rsidRPr="00C70E6B">
        <w:rPr>
          <w:rFonts w:hint="eastAsia"/>
          <w:color w:val="000000"/>
        </w:rPr>
        <w:t>截至</w:t>
      </w:r>
      <w:r w:rsidRPr="00C70E6B">
        <w:rPr>
          <w:color w:val="000000"/>
        </w:rPr>
        <w:t>10</w:t>
      </w:r>
      <w:r w:rsidRPr="00C70E6B">
        <w:rPr>
          <w:rFonts w:hint="eastAsia"/>
          <w:color w:val="000000"/>
        </w:rPr>
        <w:t>8年6月底，共計收回苓雅區成功段537地號等5筆市有非公用土地，面積</w:t>
      </w:r>
      <w:smartTag w:uri="urn:schemas-microsoft-com:office:smarttags" w:element="chmetcnv">
        <w:smartTagPr>
          <w:attr w:name="UnitName" w:val="平方公尺"/>
          <w:attr w:name="SourceValue" w:val="753.18"/>
          <w:attr w:name="HasSpace" w:val="False"/>
          <w:attr w:name="Negative" w:val="False"/>
          <w:attr w:name="NumberType" w:val="1"/>
          <w:attr w:name="TCSC" w:val="0"/>
        </w:smartTagPr>
        <w:r w:rsidRPr="00C70E6B">
          <w:rPr>
            <w:rFonts w:hint="eastAsia"/>
            <w:color w:val="000000"/>
          </w:rPr>
          <w:t>753.18平方公尺</w:t>
        </w:r>
      </w:smartTag>
      <w:r w:rsidRPr="00C70E6B">
        <w:rPr>
          <w:rFonts w:hint="eastAsia"/>
          <w:color w:val="000000"/>
        </w:rPr>
        <w:t>，公告現值約6,125萬元。</w:t>
      </w:r>
    </w:p>
    <w:p w:rsidR="00A52886" w:rsidRPr="00C70E6B" w:rsidRDefault="000F4CAC" w:rsidP="000F4CAC">
      <w:pPr>
        <w:pStyle w:val="affffffff9"/>
        <w:spacing w:line="440" w:lineRule="exact"/>
        <w:ind w:leftChars="100" w:left="801" w:hangingChars="200" w:hanging="561"/>
        <w:jc w:val="both"/>
        <w:rPr>
          <w:color w:val="000000"/>
        </w:rPr>
      </w:pPr>
      <w:r w:rsidRPr="00C70E6B">
        <w:rPr>
          <w:rFonts w:hint="eastAsia"/>
          <w:color w:val="000000"/>
        </w:rPr>
        <w:t>(</w:t>
      </w:r>
      <w:r w:rsidR="00A52886" w:rsidRPr="00C70E6B">
        <w:rPr>
          <w:rFonts w:hint="eastAsia"/>
          <w:color w:val="000000"/>
        </w:rPr>
        <w:t>三</w:t>
      </w:r>
      <w:r w:rsidRPr="00C70E6B">
        <w:rPr>
          <w:rFonts w:hint="eastAsia"/>
          <w:color w:val="000000"/>
        </w:rPr>
        <w:t>)</w:t>
      </w:r>
      <w:r w:rsidR="00A52886" w:rsidRPr="00C70E6B">
        <w:rPr>
          <w:rFonts w:hint="eastAsia"/>
          <w:color w:val="000000"/>
        </w:rPr>
        <w:t>新草衙專案市有非公用土地管理情形</w:t>
      </w:r>
    </w:p>
    <w:p w:rsidR="00826D7A" w:rsidRPr="00703A05" w:rsidRDefault="000F4CAC" w:rsidP="000F4CAC">
      <w:pPr>
        <w:pStyle w:val="affffffffb"/>
        <w:ind w:leftChars="350" w:left="1120" w:rightChars="0" w:right="0" w:hangingChars="100" w:hanging="280"/>
        <w:jc w:val="both"/>
      </w:pPr>
      <w:r w:rsidRPr="00C70E6B">
        <w:rPr>
          <w:rFonts w:hint="eastAsia"/>
          <w:color w:val="000000"/>
        </w:rPr>
        <w:t>1.</w:t>
      </w:r>
      <w:r w:rsidR="00703A05">
        <w:rPr>
          <w:rFonts w:hint="eastAsia"/>
        </w:rPr>
        <w:t>新草衙地區市有土地讓售處分案，前經本市議會104年12月11日函復同意專案讓售，行政院亦於1</w:t>
      </w:r>
      <w:r w:rsidR="00703A05" w:rsidRPr="00703A05">
        <w:rPr>
          <w:rFonts w:hint="eastAsia"/>
        </w:rPr>
        <w:t>05年4月28日核准在案，本案業依土地法第25條完成處分程序。截至108年6月底申購案件累計共1,906案(2,457戶) 3,702筆，面積15萬7,936平方公尺。其中已完成讓售審理程序者共1,641案(2,095戶)3,209筆，面積12萬584平方公尺。其餘案件陸續審理中</w:t>
      </w:r>
      <w:r w:rsidR="00A52886" w:rsidRPr="00703A05">
        <w:rPr>
          <w:rFonts w:hint="eastAsia"/>
        </w:rPr>
        <w:t>。</w:t>
      </w:r>
    </w:p>
    <w:p w:rsidR="00826D7A" w:rsidRPr="00C70E6B" w:rsidRDefault="000F4CAC" w:rsidP="000F4CAC">
      <w:pPr>
        <w:pStyle w:val="affffffffb"/>
        <w:ind w:leftChars="350" w:left="1120" w:rightChars="0" w:right="0" w:hangingChars="100" w:hanging="280"/>
        <w:jc w:val="both"/>
        <w:rPr>
          <w:color w:val="000000"/>
        </w:rPr>
      </w:pPr>
      <w:r w:rsidRPr="00C70E6B">
        <w:rPr>
          <w:rFonts w:hint="eastAsia"/>
          <w:color w:val="000000"/>
        </w:rPr>
        <w:t>2.</w:t>
      </w:r>
      <w:r w:rsidR="00A52886" w:rsidRPr="00C70E6B">
        <w:rPr>
          <w:rFonts w:hint="eastAsia"/>
          <w:color w:val="000000"/>
        </w:rPr>
        <w:t>為促進新草衙地區土地處理自治條例的推動並落實市有地管理，擬自106</w:t>
      </w:r>
      <w:r w:rsidR="00A52886" w:rsidRPr="00C70E6B">
        <w:rPr>
          <w:rFonts w:hint="eastAsia"/>
          <w:color w:val="000000"/>
        </w:rPr>
        <w:lastRenderedPageBreak/>
        <w:t>年1月1日起於新草衙地區市有土地列冊開徵，並往前追收5年使用補償金。倘民眾無力一次繳清，得申請5年分期無息繳納5年使用補償金；如申購之土地合併達高雄市畸零地使用自治條例規定之建築基地最小面積寬度及深度者，可免繳納承購土地之5年使用補償金。</w:t>
      </w:r>
    </w:p>
    <w:p w:rsidR="00A52886" w:rsidRPr="00C70E6B" w:rsidRDefault="000F4CAC" w:rsidP="000F4CAC">
      <w:pPr>
        <w:pStyle w:val="affffffffb"/>
        <w:ind w:leftChars="350" w:left="1120" w:rightChars="0" w:right="0" w:hangingChars="100" w:hanging="280"/>
        <w:jc w:val="both"/>
        <w:rPr>
          <w:color w:val="000000"/>
        </w:rPr>
      </w:pPr>
      <w:r w:rsidRPr="00C70E6B">
        <w:rPr>
          <w:rFonts w:hint="eastAsia"/>
          <w:color w:val="000000"/>
        </w:rPr>
        <w:t>3.</w:t>
      </w:r>
      <w:r w:rsidR="00A52886" w:rsidRPr="00C70E6B">
        <w:rPr>
          <w:rFonts w:hint="eastAsia"/>
          <w:color w:val="000000"/>
        </w:rPr>
        <w:t>新草衙地區市有土地總列冊管理3,062戶。截至108年6月底提出申購者2,457戶，承租者192戶，分期及正常繳納使用補償金者</w:t>
      </w:r>
      <w:r w:rsidR="00A52886" w:rsidRPr="00C70E6B">
        <w:rPr>
          <w:color w:val="000000"/>
        </w:rPr>
        <w:t>212</w:t>
      </w:r>
      <w:r w:rsidR="00A52886" w:rsidRPr="00C70E6B">
        <w:rPr>
          <w:rFonts w:hint="eastAsia"/>
          <w:color w:val="000000"/>
        </w:rPr>
        <w:t>戶，納入正常管理達9.</w:t>
      </w:r>
      <w:r w:rsidR="00A52886" w:rsidRPr="00C70E6B">
        <w:rPr>
          <w:color w:val="000000"/>
        </w:rPr>
        <w:t>3</w:t>
      </w:r>
      <w:r w:rsidR="00A52886" w:rsidRPr="00C70E6B">
        <w:rPr>
          <w:rFonts w:hint="eastAsia"/>
          <w:color w:val="000000"/>
        </w:rPr>
        <w:t>成。</w:t>
      </w:r>
      <w:r w:rsidR="00A52886" w:rsidRPr="00C70E6B">
        <w:rPr>
          <w:color w:val="000000"/>
        </w:rPr>
        <w:t>(</w:t>
      </w:r>
      <w:r w:rsidR="00A52886" w:rsidRPr="00C70E6B">
        <w:rPr>
          <w:rFonts w:hint="eastAsia"/>
          <w:color w:val="000000"/>
        </w:rPr>
        <w:t>原截至107.12.31列管承租230戶，正常繳納(含分期)</w:t>
      </w:r>
      <w:r w:rsidR="00A52886" w:rsidRPr="00C70E6B">
        <w:rPr>
          <w:color w:val="000000"/>
        </w:rPr>
        <w:t>283</w:t>
      </w:r>
      <w:r w:rsidR="00A52886" w:rsidRPr="00C70E6B">
        <w:rPr>
          <w:rFonts w:hint="eastAsia"/>
          <w:color w:val="000000"/>
        </w:rPr>
        <w:t>戶，惟於108年5月本局辦理催收業務時，經查原申請分期戶達108戶未如期繳納，遂與原欠繳130戶合計238戶一併納入催收戶管理，皆已辦理催收在案。</w:t>
      </w:r>
      <w:r w:rsidR="00A52886" w:rsidRPr="00C70E6B">
        <w:rPr>
          <w:color w:val="000000"/>
        </w:rPr>
        <w:t>)</w:t>
      </w:r>
    </w:p>
    <w:p w:rsidR="00A52886" w:rsidRPr="00C70E6B" w:rsidRDefault="00A52886" w:rsidP="000F4CAC">
      <w:pPr>
        <w:pStyle w:val="affffffff7"/>
        <w:spacing w:beforeLines="50" w:before="180" w:after="0" w:line="440" w:lineRule="exact"/>
        <w:jc w:val="both"/>
        <w:rPr>
          <w:rFonts w:ascii="標楷體" w:eastAsia="標楷體" w:hAnsi="標楷體"/>
          <w:color w:val="000000"/>
        </w:rPr>
      </w:pPr>
      <w:r w:rsidRPr="00C70E6B">
        <w:rPr>
          <w:rFonts w:ascii="標楷體" w:eastAsia="標楷體" w:hAnsi="標楷體" w:hint="eastAsia"/>
          <w:color w:val="000000"/>
        </w:rPr>
        <w:t>六、市有非公用不動產開發</w:t>
      </w:r>
    </w:p>
    <w:p w:rsidR="00A52886" w:rsidRPr="00C70E6B" w:rsidRDefault="00A52886" w:rsidP="000F4CAC">
      <w:pPr>
        <w:pStyle w:val="affffffff3"/>
        <w:ind w:leftChars="350" w:left="840" w:rightChars="110" w:right="264"/>
        <w:jc w:val="both"/>
        <w:rPr>
          <w:color w:val="000000"/>
        </w:rPr>
      </w:pPr>
      <w:r w:rsidRPr="00C70E6B">
        <w:rPr>
          <w:rFonts w:hint="eastAsia"/>
          <w:color w:val="000000"/>
        </w:rPr>
        <w:t>本府財政局擔任促參案件窗口，協助各機關推動促參案件，除節省政府支出外，藉由引進民間資金，創造財政收入，並爭取促參獎勵金。另本府辦理促參業務績效卓著，104年至107年連續4年獲財政部頒發促參招商卓越獎，係中央部會及地方政府唯一連續4年蟬聯此殊榮。</w:t>
      </w:r>
    </w:p>
    <w:p w:rsidR="00A52886" w:rsidRPr="00703A05" w:rsidRDefault="00A52886" w:rsidP="000F4CAC">
      <w:pPr>
        <w:pStyle w:val="affffffff9"/>
        <w:spacing w:line="440" w:lineRule="exact"/>
        <w:ind w:leftChars="100" w:left="801" w:hangingChars="200" w:hanging="561"/>
        <w:jc w:val="both"/>
      </w:pPr>
      <w:r w:rsidRPr="00C70E6B">
        <w:rPr>
          <w:rFonts w:hint="eastAsia"/>
          <w:color w:val="000000"/>
        </w:rPr>
        <w:t>(一)已簽</w:t>
      </w:r>
      <w:r w:rsidRPr="00703A05">
        <w:rPr>
          <w:rFonts w:hint="eastAsia"/>
        </w:rPr>
        <w:t>約促參案件</w:t>
      </w:r>
    </w:p>
    <w:p w:rsidR="00A52886" w:rsidRPr="00703A05" w:rsidRDefault="00703A05" w:rsidP="000F4CAC">
      <w:pPr>
        <w:pStyle w:val="affffffff3"/>
        <w:ind w:leftChars="350" w:left="840" w:rightChars="110" w:right="264"/>
        <w:jc w:val="both"/>
      </w:pPr>
      <w:r w:rsidRPr="00703A05">
        <w:rPr>
          <w:rFonts w:hint="eastAsia"/>
        </w:rPr>
        <w:t>已簽約之促參案件計21案，民間投資金額528億元，合約期間權利金及租金收入總計約123億元，獲財政部頒發促參獎勵金約2.47億元；其中108年簽約為運發局「鳳山運動圈BOT案」</w:t>
      </w:r>
      <w:r w:rsidR="00A52886" w:rsidRPr="00703A05">
        <w:rPr>
          <w:rFonts w:hint="eastAsia"/>
        </w:rPr>
        <w:t>。</w:t>
      </w:r>
    </w:p>
    <w:p w:rsidR="00A52886" w:rsidRPr="00703A05" w:rsidRDefault="00A52886" w:rsidP="000F4CAC">
      <w:pPr>
        <w:pStyle w:val="affffffff9"/>
        <w:spacing w:line="440" w:lineRule="exact"/>
        <w:ind w:leftChars="100" w:left="801" w:hangingChars="200" w:hanging="561"/>
        <w:jc w:val="both"/>
      </w:pPr>
      <w:r w:rsidRPr="00703A05">
        <w:rPr>
          <w:rFonts w:hint="eastAsia"/>
        </w:rPr>
        <w:t>(二)辦理中促參案件</w:t>
      </w:r>
    </w:p>
    <w:p w:rsidR="00A52886" w:rsidRPr="00703A05" w:rsidRDefault="00703A05" w:rsidP="000F4CAC">
      <w:pPr>
        <w:pStyle w:val="affffffff3"/>
        <w:ind w:leftChars="350" w:left="840" w:rightChars="110" w:right="264"/>
        <w:jc w:val="both"/>
      </w:pPr>
      <w:r w:rsidRPr="00703A05">
        <w:rPr>
          <w:rFonts w:hint="eastAsia"/>
        </w:rPr>
        <w:t>辦理中促參案件計11案，預估民間投資金額約17.6億元，預估 權利金及租金收入總計約59.1億元；其中108年公告計3案，惟勞工局勞教中心「獅甲會館民間自提ROT案」、運發局「國家體育場民間自提OT暨 BOT案」及交通局「凹仔底停5用地BOT案」</w:t>
      </w:r>
      <w:r w:rsidR="00A52886" w:rsidRPr="00703A05">
        <w:rPr>
          <w:rFonts w:hint="eastAsia"/>
        </w:rPr>
        <w:t>。</w:t>
      </w:r>
    </w:p>
    <w:p w:rsidR="00A52886" w:rsidRPr="00703A05" w:rsidRDefault="00A52886" w:rsidP="000F4CAC">
      <w:pPr>
        <w:pStyle w:val="affffffff9"/>
        <w:spacing w:line="440" w:lineRule="exact"/>
        <w:ind w:leftChars="100" w:left="801" w:hangingChars="200" w:hanging="561"/>
        <w:jc w:val="both"/>
      </w:pPr>
      <w:r w:rsidRPr="00703A05">
        <w:rPr>
          <w:rFonts w:hint="eastAsia"/>
        </w:rPr>
        <w:t>(三)已簽約開發案件</w:t>
      </w:r>
    </w:p>
    <w:p w:rsidR="00A52886" w:rsidRPr="00703A05" w:rsidRDefault="00703A05" w:rsidP="000F4CAC">
      <w:pPr>
        <w:pStyle w:val="affffffff3"/>
        <w:ind w:leftChars="350" w:left="840" w:rightChars="110" w:right="264"/>
        <w:jc w:val="both"/>
      </w:pPr>
      <w:r w:rsidRPr="00703A05">
        <w:rPr>
          <w:rFonts w:hint="eastAsia"/>
        </w:rPr>
        <w:t>已簽約開發案件計14案，預估民間投資金額約700.7億元，預估權利金及租金收入總計約130.5億元，獲財政部頒發促參獎勵金約0.96億元；其中108年簽約為財政局「高雄捷運鳳山國中周邊地區都市更新案」</w:t>
      </w:r>
      <w:r w:rsidR="00A52886" w:rsidRPr="00703A05">
        <w:rPr>
          <w:rFonts w:hint="eastAsia"/>
        </w:rPr>
        <w:t>。</w:t>
      </w:r>
    </w:p>
    <w:p w:rsidR="00A52886" w:rsidRPr="00703A05" w:rsidRDefault="00A52886" w:rsidP="000F4CAC">
      <w:pPr>
        <w:pStyle w:val="affffffff9"/>
        <w:spacing w:line="440" w:lineRule="exact"/>
        <w:ind w:leftChars="100" w:left="801" w:hangingChars="200" w:hanging="561"/>
        <w:jc w:val="both"/>
      </w:pPr>
      <w:r w:rsidRPr="00703A05">
        <w:rPr>
          <w:rFonts w:hint="eastAsia"/>
        </w:rPr>
        <w:t>(四)辦理中開發案件</w:t>
      </w:r>
    </w:p>
    <w:p w:rsidR="00A52886" w:rsidRPr="00703A05" w:rsidRDefault="00703A05" w:rsidP="000F4CAC">
      <w:pPr>
        <w:pStyle w:val="affffffff3"/>
        <w:ind w:leftChars="350" w:left="840" w:rightChars="110" w:right="264"/>
        <w:jc w:val="both"/>
      </w:pPr>
      <w:r w:rsidRPr="00703A05">
        <w:rPr>
          <w:rFonts w:hint="eastAsia"/>
        </w:rPr>
        <w:t>辦理中開發案件計14案，預估民間投資金額約553億元，預估權利金及租金收入總計約240億元；其中108年公告計4案，為觀光局「旗津度假旅館開發案」、文化局「大榮段659地號等4筆土地設定地上權案」、都發局「多功能經貿園區特貿三督更案」及財政局「成功路漢神百貨</w:t>
      </w:r>
      <w:r w:rsidR="00971EA5">
        <w:rPr>
          <w:rFonts w:hint="eastAsia"/>
        </w:rPr>
        <w:t>對面</w:t>
      </w:r>
      <w:r w:rsidRPr="00703A05">
        <w:rPr>
          <w:rFonts w:hint="eastAsia"/>
        </w:rPr>
        <w:t>商業區開發案」</w:t>
      </w:r>
      <w:r w:rsidR="00A52886" w:rsidRPr="00703A05">
        <w:rPr>
          <w:rFonts w:hint="eastAsia"/>
        </w:rPr>
        <w:t>。</w:t>
      </w:r>
    </w:p>
    <w:p w:rsidR="00A52886" w:rsidRPr="00703A05" w:rsidRDefault="00A52886" w:rsidP="000F4CAC">
      <w:pPr>
        <w:pStyle w:val="affffffff9"/>
        <w:spacing w:line="440" w:lineRule="exact"/>
        <w:ind w:leftChars="100" w:left="801" w:hangingChars="200" w:hanging="561"/>
        <w:jc w:val="both"/>
      </w:pPr>
      <w:r w:rsidRPr="00703A05">
        <w:rPr>
          <w:rFonts w:hint="eastAsia"/>
        </w:rPr>
        <w:t>(五)協助各機關爭取促參前置作業費補助</w:t>
      </w:r>
    </w:p>
    <w:p w:rsidR="00A52886" w:rsidRPr="00C70E6B" w:rsidRDefault="00A52886" w:rsidP="000F4CAC">
      <w:pPr>
        <w:pStyle w:val="affffffff3"/>
        <w:ind w:leftChars="350" w:left="840" w:rightChars="110" w:right="264"/>
        <w:jc w:val="both"/>
        <w:rPr>
          <w:color w:val="000000"/>
        </w:rPr>
      </w:pPr>
      <w:r w:rsidRPr="00703A05">
        <w:rPr>
          <w:rFonts w:hint="eastAsia"/>
        </w:rPr>
        <w:t>截至目前獲財政部核准促參前置作業費補助計17案，同意補助金額3,11</w:t>
      </w:r>
      <w:r w:rsidRPr="00C70E6B">
        <w:rPr>
          <w:rFonts w:hint="eastAsia"/>
          <w:color w:val="000000"/>
        </w:rPr>
        <w:t>5萬元，後續本府財政局仍將持續協助各機關積極辦理促參案件，爭取促參前置作業費補助。</w:t>
      </w:r>
    </w:p>
    <w:p w:rsidR="00A52886" w:rsidRPr="00C70E6B" w:rsidRDefault="00A52886" w:rsidP="000F4CAC">
      <w:pPr>
        <w:pStyle w:val="affffffff7"/>
        <w:spacing w:beforeLines="50" w:before="180" w:after="0" w:line="440" w:lineRule="exact"/>
        <w:jc w:val="both"/>
        <w:rPr>
          <w:rFonts w:ascii="標楷體" w:eastAsia="標楷體" w:hAnsi="標楷體"/>
          <w:color w:val="000000"/>
        </w:rPr>
      </w:pPr>
      <w:r w:rsidRPr="00C70E6B">
        <w:rPr>
          <w:rFonts w:ascii="標楷體" w:eastAsia="標楷體" w:hAnsi="標楷體" w:hint="eastAsia"/>
          <w:color w:val="000000"/>
        </w:rPr>
        <w:t>七、集中支付作業管理</w:t>
      </w:r>
    </w:p>
    <w:p w:rsidR="00A52886" w:rsidRPr="00C70E6B" w:rsidRDefault="00A52886" w:rsidP="000F4CAC">
      <w:pPr>
        <w:pStyle w:val="affffffff9"/>
        <w:spacing w:line="440" w:lineRule="exact"/>
        <w:ind w:leftChars="100" w:left="240"/>
        <w:jc w:val="both"/>
        <w:rPr>
          <w:color w:val="000000"/>
        </w:rPr>
      </w:pPr>
      <w:r w:rsidRPr="00C70E6B">
        <w:rPr>
          <w:rFonts w:hint="eastAsia"/>
          <w:color w:val="000000"/>
        </w:rPr>
        <w:lastRenderedPageBreak/>
        <w:t>(一)支付資料複核、簽放作業</w:t>
      </w:r>
    </w:p>
    <w:p w:rsidR="00A52886" w:rsidRPr="00C70E6B" w:rsidRDefault="00A52886" w:rsidP="000F4CAC">
      <w:pPr>
        <w:pStyle w:val="affffffff3"/>
        <w:ind w:leftChars="350" w:left="840" w:rightChars="110" w:right="264"/>
        <w:jc w:val="both"/>
        <w:rPr>
          <w:color w:val="000000"/>
        </w:rPr>
      </w:pPr>
      <w:r w:rsidRPr="00C70E6B">
        <w:rPr>
          <w:rFonts w:hint="eastAsia"/>
          <w:color w:val="000000"/>
        </w:rPr>
        <w:t>108年度截至6月底止支付筆數共15萬1,711筆，支付淨額2,136億8,255萬9,927元。</w:t>
      </w:r>
    </w:p>
    <w:p w:rsidR="00A52886" w:rsidRPr="00C70E6B" w:rsidRDefault="00A52886" w:rsidP="000F4CAC">
      <w:pPr>
        <w:pStyle w:val="affffffff9"/>
        <w:spacing w:line="440" w:lineRule="exact"/>
        <w:ind w:leftChars="100" w:left="240"/>
        <w:jc w:val="both"/>
        <w:rPr>
          <w:color w:val="000000"/>
        </w:rPr>
      </w:pPr>
      <w:r w:rsidRPr="00C70E6B">
        <w:rPr>
          <w:rFonts w:hint="eastAsia"/>
          <w:color w:val="000000"/>
        </w:rPr>
        <w:t>(二</w:t>
      </w:r>
      <w:r w:rsidRPr="00C70E6B">
        <w:rPr>
          <w:color w:val="000000"/>
        </w:rPr>
        <w:t>)</w:t>
      </w:r>
      <w:r w:rsidRPr="00C70E6B">
        <w:rPr>
          <w:rFonts w:hint="eastAsia"/>
          <w:color w:val="000000"/>
        </w:rPr>
        <w:t>賡續宣導通匯存帳作業，以降低市庫支票簽發張數</w:t>
      </w:r>
    </w:p>
    <w:p w:rsidR="00A52886" w:rsidRPr="00C70E6B" w:rsidRDefault="00A52886" w:rsidP="000F4CAC">
      <w:pPr>
        <w:pStyle w:val="affffffff3"/>
        <w:ind w:leftChars="350" w:left="840" w:rightChars="110" w:right="264"/>
        <w:jc w:val="both"/>
        <w:rPr>
          <w:color w:val="000000"/>
        </w:rPr>
      </w:pPr>
      <w:r w:rsidRPr="00C70E6B">
        <w:rPr>
          <w:rFonts w:hint="eastAsia"/>
          <w:color w:val="000000"/>
        </w:rPr>
        <w:t>108年度截至6月底止存帳付款比率提升至99.17％，較去年同期增加0.24％。</w:t>
      </w:r>
    </w:p>
    <w:p w:rsidR="00E91148" w:rsidRPr="00C70E6B" w:rsidRDefault="00E91148" w:rsidP="00583D07">
      <w:pPr>
        <w:pStyle w:val="affffffff3"/>
        <w:ind w:rightChars="110" w:right="264"/>
        <w:jc w:val="both"/>
        <w:rPr>
          <w:color w:val="000000"/>
        </w:rPr>
      </w:pPr>
    </w:p>
    <w:p w:rsidR="00A52886" w:rsidRPr="00C70E6B" w:rsidRDefault="00A52886" w:rsidP="000F4CAC">
      <w:pPr>
        <w:pStyle w:val="affffffff9"/>
        <w:spacing w:line="440" w:lineRule="exact"/>
        <w:ind w:leftChars="100" w:left="240"/>
        <w:jc w:val="both"/>
        <w:rPr>
          <w:color w:val="000000"/>
        </w:rPr>
      </w:pPr>
      <w:r w:rsidRPr="00C70E6B">
        <w:rPr>
          <w:rFonts w:hint="eastAsia"/>
          <w:color w:val="000000"/>
        </w:rPr>
        <w:t>(三)108年6月底納入集中支付特種基金餘額約220.4億元、保管款餘額約200.1億元，有助於庫款調度並節省市庫利息支出。</w:t>
      </w:r>
    </w:p>
    <w:p w:rsidR="00E91148" w:rsidRPr="00C70E6B" w:rsidRDefault="00E91148" w:rsidP="000F4CAC">
      <w:pPr>
        <w:pStyle w:val="affffffff9"/>
        <w:spacing w:line="440" w:lineRule="exact"/>
        <w:ind w:leftChars="100" w:left="240"/>
        <w:jc w:val="both"/>
        <w:rPr>
          <w:color w:val="000000"/>
        </w:rPr>
      </w:pPr>
    </w:p>
    <w:p w:rsidR="00A52886" w:rsidRPr="00C70E6B" w:rsidRDefault="00A52886" w:rsidP="000F4CAC">
      <w:pPr>
        <w:pStyle w:val="affffffff9"/>
        <w:spacing w:line="440" w:lineRule="exact"/>
        <w:ind w:leftChars="100" w:left="240"/>
        <w:jc w:val="both"/>
        <w:rPr>
          <w:color w:val="000000"/>
        </w:rPr>
      </w:pPr>
      <w:r w:rsidRPr="00C70E6B">
        <w:rPr>
          <w:rFonts w:hint="eastAsia"/>
          <w:color w:val="000000"/>
        </w:rPr>
        <w:t>(四)依據「108年度辦理高雄銀行代理簽發市庫支票情形暨高雄市市庫集中支付電子作業安全控管查核計畫」各查核2次，俾達安全控管之效。</w:t>
      </w:r>
    </w:p>
    <w:p w:rsidR="00E91148" w:rsidRPr="00C70E6B" w:rsidRDefault="00E91148" w:rsidP="000F4CAC">
      <w:pPr>
        <w:pStyle w:val="affffffff9"/>
        <w:spacing w:line="440" w:lineRule="exact"/>
        <w:ind w:leftChars="100" w:left="240"/>
        <w:jc w:val="both"/>
        <w:rPr>
          <w:color w:val="000000"/>
        </w:rPr>
      </w:pPr>
    </w:p>
    <w:p w:rsidR="00E91148" w:rsidRDefault="00A52886" w:rsidP="000F4CAC">
      <w:pPr>
        <w:pStyle w:val="affffffff9"/>
        <w:spacing w:line="440" w:lineRule="exact"/>
        <w:ind w:leftChars="100" w:left="240"/>
        <w:jc w:val="both"/>
        <w:rPr>
          <w:rFonts w:hint="eastAsia"/>
          <w:color w:val="000000"/>
        </w:rPr>
      </w:pPr>
      <w:r w:rsidRPr="00C70E6B">
        <w:rPr>
          <w:rFonts w:hint="eastAsia"/>
          <w:color w:val="000000"/>
        </w:rPr>
        <w:t>(五)為配合市庫代理銀行公開遴選作業，業將辦理市庫集中支付電子作業權利義務約定、電子支付系統功能及市庫集中支付電子作業各項費用統計表納入代理市庫契約</w:t>
      </w:r>
      <w:r w:rsidR="000F4CAC" w:rsidRPr="00C70E6B">
        <w:rPr>
          <w:rFonts w:hint="eastAsia"/>
          <w:color w:val="000000"/>
        </w:rPr>
        <w:t>(</w:t>
      </w:r>
      <w:r w:rsidRPr="00C70E6B">
        <w:rPr>
          <w:rFonts w:hint="eastAsia"/>
          <w:color w:val="000000"/>
        </w:rPr>
        <w:t>草案</w:t>
      </w:r>
      <w:r w:rsidR="000F4CAC" w:rsidRPr="00C70E6B">
        <w:rPr>
          <w:rFonts w:hint="eastAsia"/>
          <w:color w:val="000000"/>
        </w:rPr>
        <w:t>)</w:t>
      </w:r>
      <w:r w:rsidRPr="00C70E6B">
        <w:rPr>
          <w:rFonts w:hint="eastAsia"/>
          <w:color w:val="000000"/>
        </w:rPr>
        <w:t>範圍，以完整規範市庫代理銀行的權利義務。</w:t>
      </w:r>
    </w:p>
    <w:p w:rsidR="00C70E6B" w:rsidRPr="00C70E6B" w:rsidRDefault="00C70E6B" w:rsidP="003834B2">
      <w:pPr>
        <w:pStyle w:val="affffffff5"/>
        <w:ind w:rightChars="110" w:right="264"/>
        <w:jc w:val="both"/>
        <w:rPr>
          <w:sz w:val="28"/>
          <w:szCs w:val="28"/>
        </w:rPr>
      </w:pPr>
    </w:p>
    <w:p w:rsidR="005C60C6" w:rsidRPr="00C70E6B" w:rsidRDefault="005C60C6" w:rsidP="00C70E6B">
      <w:pPr>
        <w:pStyle w:val="affffffff5"/>
        <w:spacing w:line="1000" w:lineRule="exact"/>
        <w:rPr>
          <w:color w:val="000000"/>
        </w:rPr>
      </w:pPr>
    </w:p>
    <w:sectPr w:rsidR="005C60C6" w:rsidRPr="00C70E6B" w:rsidSect="003834B2">
      <w:footerReference w:type="even" r:id="rId8"/>
      <w:footerReference w:type="default" r:id="rId9"/>
      <w:pgSz w:w="11906" w:h="16838" w:code="9"/>
      <w:pgMar w:top="851" w:right="851" w:bottom="851" w:left="851" w:header="851" w:footer="510" w:gutter="0"/>
      <w:pgNumType w:start="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12B" w:rsidRDefault="00C3312B" w:rsidP="00F43485">
      <w:r>
        <w:separator/>
      </w:r>
    </w:p>
  </w:endnote>
  <w:endnote w:type="continuationSeparator" w:id="0">
    <w:p w:rsidR="00C3312B" w:rsidRDefault="00C3312B"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粗圓體">
    <w:charset w:val="88"/>
    <w:family w:val="modern"/>
    <w:pitch w:val="fixed"/>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1" w:usb1="08080000" w:usb2="00000010"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altName w:val="Arial Unicode MS"/>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FE" w:rsidRDefault="00A630FE" w:rsidP="003834B2">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68</w:t>
    </w:r>
    <w:r>
      <w:rPr>
        <w:rStyle w:val="af"/>
      </w:rPr>
      <w:fldChar w:fldCharType="end"/>
    </w:r>
  </w:p>
  <w:p w:rsidR="00A630FE" w:rsidRDefault="00A630F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B2" w:rsidRDefault="003834B2" w:rsidP="00C3312B">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466ECE">
      <w:rPr>
        <w:rStyle w:val="af"/>
        <w:noProof/>
      </w:rPr>
      <w:t>16</w:t>
    </w:r>
    <w:r>
      <w:rPr>
        <w:rStyle w:val="af"/>
      </w:rPr>
      <w:fldChar w:fldCharType="end"/>
    </w:r>
  </w:p>
  <w:p w:rsidR="003834B2" w:rsidRPr="003834B2" w:rsidRDefault="003834B2" w:rsidP="003834B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12B" w:rsidRDefault="00C3312B" w:rsidP="00F43485">
      <w:r>
        <w:separator/>
      </w:r>
    </w:p>
  </w:footnote>
  <w:footnote w:type="continuationSeparator" w:id="0">
    <w:p w:rsidR="00C3312B" w:rsidRDefault="00C3312B"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4">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5">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16"/>
  </w:num>
  <w:num w:numId="2">
    <w:abstractNumId w:val="15"/>
  </w:num>
  <w:num w:numId="3">
    <w:abstractNumId w:val="18"/>
  </w:num>
  <w:num w:numId="4">
    <w:abstractNumId w:val="12"/>
  </w:num>
  <w:num w:numId="5">
    <w:abstractNumId w:val="13"/>
  </w:num>
  <w:num w:numId="6">
    <w:abstractNumId w:val="17"/>
  </w:num>
  <w:num w:numId="7">
    <w:abstractNumId w:val="14"/>
  </w:num>
  <w:num w:numId="8">
    <w:abstractNumId w:val="9"/>
  </w:num>
  <w:num w:numId="9">
    <w:abstractNumId w:val="10"/>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7289"/>
    <w:rsid w:val="00012150"/>
    <w:rsid w:val="00017B15"/>
    <w:rsid w:val="00032A69"/>
    <w:rsid w:val="00034283"/>
    <w:rsid w:val="00051A50"/>
    <w:rsid w:val="00060827"/>
    <w:rsid w:val="000A0961"/>
    <w:rsid w:val="000E0E0C"/>
    <w:rsid w:val="000F4CAC"/>
    <w:rsid w:val="00131165"/>
    <w:rsid w:val="001412EC"/>
    <w:rsid w:val="001A3DB4"/>
    <w:rsid w:val="001B1483"/>
    <w:rsid w:val="001B1AEB"/>
    <w:rsid w:val="001E69E6"/>
    <w:rsid w:val="001F2147"/>
    <w:rsid w:val="002338AF"/>
    <w:rsid w:val="0024381E"/>
    <w:rsid w:val="00251A75"/>
    <w:rsid w:val="002727E6"/>
    <w:rsid w:val="00280689"/>
    <w:rsid w:val="00282F39"/>
    <w:rsid w:val="00292DF9"/>
    <w:rsid w:val="002A1D37"/>
    <w:rsid w:val="002C7D90"/>
    <w:rsid w:val="002D15A1"/>
    <w:rsid w:val="002E6BAD"/>
    <w:rsid w:val="002F373D"/>
    <w:rsid w:val="00353B66"/>
    <w:rsid w:val="00361A19"/>
    <w:rsid w:val="003640DD"/>
    <w:rsid w:val="003834B2"/>
    <w:rsid w:val="00395759"/>
    <w:rsid w:val="00396EB8"/>
    <w:rsid w:val="00397D9F"/>
    <w:rsid w:val="003B474C"/>
    <w:rsid w:val="003B56A0"/>
    <w:rsid w:val="003C3A12"/>
    <w:rsid w:val="003E662E"/>
    <w:rsid w:val="00417D63"/>
    <w:rsid w:val="00453AEE"/>
    <w:rsid w:val="00454317"/>
    <w:rsid w:val="0046591E"/>
    <w:rsid w:val="00466ECE"/>
    <w:rsid w:val="00494EC3"/>
    <w:rsid w:val="004A4531"/>
    <w:rsid w:val="004B1377"/>
    <w:rsid w:val="004C123A"/>
    <w:rsid w:val="004D72B5"/>
    <w:rsid w:val="004E55C7"/>
    <w:rsid w:val="00500ABE"/>
    <w:rsid w:val="005556A5"/>
    <w:rsid w:val="0055695D"/>
    <w:rsid w:val="0056730C"/>
    <w:rsid w:val="00580654"/>
    <w:rsid w:val="00583D07"/>
    <w:rsid w:val="00591609"/>
    <w:rsid w:val="005A3263"/>
    <w:rsid w:val="005C0F91"/>
    <w:rsid w:val="005C60C6"/>
    <w:rsid w:val="005C6A40"/>
    <w:rsid w:val="005E4A27"/>
    <w:rsid w:val="005E6C90"/>
    <w:rsid w:val="006321D8"/>
    <w:rsid w:val="0067199F"/>
    <w:rsid w:val="006838DF"/>
    <w:rsid w:val="006A3B22"/>
    <w:rsid w:val="006A6AC8"/>
    <w:rsid w:val="006B59CF"/>
    <w:rsid w:val="006E18C0"/>
    <w:rsid w:val="006E6CF4"/>
    <w:rsid w:val="00703A05"/>
    <w:rsid w:val="007409FA"/>
    <w:rsid w:val="00743833"/>
    <w:rsid w:val="00744065"/>
    <w:rsid w:val="0075305C"/>
    <w:rsid w:val="00760C6C"/>
    <w:rsid w:val="007A1295"/>
    <w:rsid w:val="007A61F0"/>
    <w:rsid w:val="007B4977"/>
    <w:rsid w:val="007C4213"/>
    <w:rsid w:val="007F6975"/>
    <w:rsid w:val="00810540"/>
    <w:rsid w:val="0081495C"/>
    <w:rsid w:val="00826D7A"/>
    <w:rsid w:val="0087505D"/>
    <w:rsid w:val="008A60AA"/>
    <w:rsid w:val="00935684"/>
    <w:rsid w:val="0094089A"/>
    <w:rsid w:val="00940960"/>
    <w:rsid w:val="00947C85"/>
    <w:rsid w:val="00947F39"/>
    <w:rsid w:val="00971EA5"/>
    <w:rsid w:val="00976DF4"/>
    <w:rsid w:val="00995ADF"/>
    <w:rsid w:val="009E2C16"/>
    <w:rsid w:val="00A17473"/>
    <w:rsid w:val="00A20FC1"/>
    <w:rsid w:val="00A216B5"/>
    <w:rsid w:val="00A27CA0"/>
    <w:rsid w:val="00A52886"/>
    <w:rsid w:val="00A564D7"/>
    <w:rsid w:val="00A630FE"/>
    <w:rsid w:val="00A85485"/>
    <w:rsid w:val="00A93D7F"/>
    <w:rsid w:val="00A97168"/>
    <w:rsid w:val="00AA7342"/>
    <w:rsid w:val="00AF189A"/>
    <w:rsid w:val="00B07DDF"/>
    <w:rsid w:val="00B13C28"/>
    <w:rsid w:val="00B46A66"/>
    <w:rsid w:val="00B60912"/>
    <w:rsid w:val="00B66C9E"/>
    <w:rsid w:val="00B71F56"/>
    <w:rsid w:val="00B96BA3"/>
    <w:rsid w:val="00BA114A"/>
    <w:rsid w:val="00BB4C9E"/>
    <w:rsid w:val="00BD7DE5"/>
    <w:rsid w:val="00C11D58"/>
    <w:rsid w:val="00C12E00"/>
    <w:rsid w:val="00C21E5B"/>
    <w:rsid w:val="00C3312B"/>
    <w:rsid w:val="00C54BA2"/>
    <w:rsid w:val="00C568BE"/>
    <w:rsid w:val="00C64848"/>
    <w:rsid w:val="00C70E6B"/>
    <w:rsid w:val="00C76143"/>
    <w:rsid w:val="00C978E4"/>
    <w:rsid w:val="00CA096D"/>
    <w:rsid w:val="00CE7893"/>
    <w:rsid w:val="00CF0E36"/>
    <w:rsid w:val="00D14362"/>
    <w:rsid w:val="00D61187"/>
    <w:rsid w:val="00D85135"/>
    <w:rsid w:val="00D8728F"/>
    <w:rsid w:val="00DF55FC"/>
    <w:rsid w:val="00E04AAF"/>
    <w:rsid w:val="00E1754D"/>
    <w:rsid w:val="00E23EDF"/>
    <w:rsid w:val="00E62E84"/>
    <w:rsid w:val="00E66646"/>
    <w:rsid w:val="00E670E6"/>
    <w:rsid w:val="00E7343A"/>
    <w:rsid w:val="00E8011D"/>
    <w:rsid w:val="00E91148"/>
    <w:rsid w:val="00E928A2"/>
    <w:rsid w:val="00E93690"/>
    <w:rsid w:val="00EA179C"/>
    <w:rsid w:val="00EB3099"/>
    <w:rsid w:val="00ED0B18"/>
    <w:rsid w:val="00ED435C"/>
    <w:rsid w:val="00EE3008"/>
    <w:rsid w:val="00EF75EB"/>
    <w:rsid w:val="00F11BCE"/>
    <w:rsid w:val="00F26E21"/>
    <w:rsid w:val="00F3382C"/>
    <w:rsid w:val="00F4006C"/>
    <w:rsid w:val="00F43485"/>
    <w:rsid w:val="00F921DE"/>
    <w:rsid w:val="00FD7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1104</Words>
  <Characters>6294</Characters>
  <Application>Microsoft Office Word</Application>
  <DocSecurity>0</DocSecurity>
  <Lines>52</Lines>
  <Paragraphs>14</Paragraphs>
  <ScaleCrop>false</ScaleCrop>
  <Company>Hewlett-Packard Company</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黃以喬</cp:lastModifiedBy>
  <cp:revision>2</cp:revision>
  <cp:lastPrinted>2019-08-26T06:44:00Z</cp:lastPrinted>
  <dcterms:created xsi:type="dcterms:W3CDTF">2019-09-16T08:45:00Z</dcterms:created>
  <dcterms:modified xsi:type="dcterms:W3CDTF">2019-09-16T08:45:00Z</dcterms:modified>
</cp:coreProperties>
</file>