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27" w:rsidRPr="000C2EC0" w:rsidRDefault="005E4A27" w:rsidP="005E4A27">
      <w:pPr>
        <w:pStyle w:val="affffffff4"/>
        <w:spacing w:line="1000" w:lineRule="exact"/>
        <w:rPr>
          <w:color w:val="000000" w:themeColor="text1"/>
          <w:sz w:val="54"/>
          <w:szCs w:val="54"/>
        </w:rPr>
      </w:pPr>
      <w:r w:rsidRPr="000C2EC0">
        <w:rPr>
          <w:rFonts w:hint="eastAsia"/>
          <w:color w:val="000000" w:themeColor="text1"/>
          <w:sz w:val="54"/>
          <w:szCs w:val="54"/>
        </w:rPr>
        <w:t>貳、財　政</w:t>
      </w:r>
    </w:p>
    <w:p w:rsidR="00297AAD" w:rsidRPr="000C2EC0" w:rsidRDefault="00297AAD" w:rsidP="00297AAD">
      <w:pPr>
        <w:pStyle w:val="affffffff6"/>
        <w:spacing w:beforeLines="50" w:before="180" w:after="0" w:line="440" w:lineRule="exact"/>
        <w:jc w:val="both"/>
        <w:rPr>
          <w:rFonts w:ascii="文鼎中黑" w:eastAsia="文鼎中黑" w:cs="LinGothic-Medium"/>
          <w:color w:val="000000" w:themeColor="text1"/>
          <w:kern w:val="0"/>
          <w:sz w:val="32"/>
          <w:szCs w:val="32"/>
        </w:rPr>
      </w:pPr>
      <w:r w:rsidRPr="000C2EC0">
        <w:rPr>
          <w:rFonts w:ascii="標楷體" w:eastAsia="標楷體" w:hAnsi="標楷體" w:hint="eastAsia"/>
          <w:color w:val="000000" w:themeColor="text1"/>
          <w:sz w:val="32"/>
          <w:szCs w:val="32"/>
        </w:rPr>
        <w:t>一、財務管理</w:t>
      </w:r>
    </w:p>
    <w:p w:rsidR="00297AAD" w:rsidRPr="000C2EC0" w:rsidRDefault="00297AAD" w:rsidP="00624CEA">
      <w:pPr>
        <w:pStyle w:val="affffffff8"/>
        <w:spacing w:line="440" w:lineRule="exact"/>
        <w:ind w:leftChars="100" w:left="240" w:firstLineChars="116" w:firstLine="325"/>
        <w:jc w:val="both"/>
        <w:rPr>
          <w:b w:val="0"/>
          <w:color w:val="000000" w:themeColor="text1"/>
        </w:rPr>
      </w:pPr>
      <w:r w:rsidRPr="000C2EC0">
        <w:rPr>
          <w:rFonts w:hint="eastAsia"/>
          <w:b w:val="0"/>
          <w:color w:val="000000" w:themeColor="text1"/>
        </w:rPr>
        <w:t>（一）10</w:t>
      </w:r>
      <w:r w:rsidRPr="000C2EC0">
        <w:rPr>
          <w:b w:val="0"/>
          <w:color w:val="000000" w:themeColor="text1"/>
        </w:rPr>
        <w:t>9</w:t>
      </w:r>
      <w:r w:rsidRPr="000C2EC0">
        <w:rPr>
          <w:rFonts w:hint="eastAsia"/>
          <w:b w:val="0"/>
          <w:color w:val="000000" w:themeColor="text1"/>
        </w:rPr>
        <w:t>年度上半年歲入執行情形</w:t>
      </w:r>
    </w:p>
    <w:p w:rsidR="00297AAD" w:rsidRPr="000C2EC0" w:rsidRDefault="00297AAD" w:rsidP="00624CEA">
      <w:pPr>
        <w:kinsoku w:val="0"/>
        <w:overflowPunct w:val="0"/>
        <w:autoSpaceDE w:val="0"/>
        <w:autoSpaceDN w:val="0"/>
        <w:adjustRightInd w:val="0"/>
        <w:snapToGrid w:val="0"/>
        <w:spacing w:line="460" w:lineRule="exact"/>
        <w:ind w:leftChars="296" w:left="1416" w:hangingChars="252" w:hanging="706"/>
        <w:jc w:val="both"/>
        <w:rPr>
          <w:rFonts w:ascii="標楷體" w:eastAsia="標楷體" w:hAnsi="標楷體" w:cs="Times New Roman"/>
          <w:bCs/>
          <w:color w:val="000000" w:themeColor="text1"/>
          <w:sz w:val="28"/>
          <w:szCs w:val="28"/>
        </w:rPr>
      </w:pPr>
      <w:r w:rsidRPr="000C2EC0">
        <w:rPr>
          <w:rFonts w:ascii="標楷體" w:eastAsia="標楷體" w:hAnsi="標楷體" w:cs="Times New Roman" w:hint="eastAsia"/>
          <w:bCs/>
          <w:color w:val="000000" w:themeColor="text1"/>
          <w:sz w:val="28"/>
          <w:szCs w:val="28"/>
        </w:rPr>
        <w:t xml:space="preserve">    </w:t>
      </w:r>
      <w:r w:rsidR="002C7CB8" w:rsidRPr="000C2EC0">
        <w:rPr>
          <w:rFonts w:ascii="標楷體" w:eastAsia="標楷體" w:hAnsi="標楷體" w:cs="Times New Roman" w:hint="eastAsia"/>
          <w:bCs/>
          <w:color w:val="000000" w:themeColor="text1"/>
          <w:sz w:val="28"/>
          <w:szCs w:val="28"/>
        </w:rPr>
        <w:t xml:space="preserve"> </w:t>
      </w:r>
      <w:r w:rsidRPr="000C2EC0">
        <w:rPr>
          <w:rFonts w:ascii="標楷體" w:eastAsia="標楷體" w:hAnsi="標楷體" w:cs="Times New Roman" w:hint="eastAsia"/>
          <w:bCs/>
          <w:color w:val="000000" w:themeColor="text1"/>
          <w:sz w:val="28"/>
          <w:szCs w:val="28"/>
        </w:rPr>
        <w:t>本（</w:t>
      </w:r>
      <w:r w:rsidRPr="000C2EC0">
        <w:rPr>
          <w:rFonts w:ascii="標楷體" w:eastAsia="標楷體" w:hAnsi="標楷體" w:cs="Times New Roman"/>
          <w:bCs/>
          <w:color w:val="000000" w:themeColor="text1"/>
          <w:sz w:val="28"/>
          <w:szCs w:val="28"/>
        </w:rPr>
        <w:t>1</w:t>
      </w:r>
      <w:r w:rsidRPr="000C2EC0">
        <w:rPr>
          <w:rFonts w:ascii="標楷體" w:eastAsia="標楷體" w:hAnsi="標楷體" w:cs="Times New Roman" w:hint="eastAsia"/>
          <w:bCs/>
          <w:color w:val="000000" w:themeColor="text1"/>
          <w:sz w:val="28"/>
          <w:szCs w:val="28"/>
        </w:rPr>
        <w:t>0</w:t>
      </w:r>
      <w:r w:rsidRPr="000C2EC0">
        <w:rPr>
          <w:rFonts w:ascii="標楷體" w:eastAsia="標楷體" w:hAnsi="標楷體" w:cs="Times New Roman"/>
          <w:bCs/>
          <w:color w:val="000000" w:themeColor="text1"/>
          <w:sz w:val="28"/>
          <w:szCs w:val="28"/>
        </w:rPr>
        <w:t>9</w:t>
      </w:r>
      <w:r w:rsidRPr="000C2EC0">
        <w:rPr>
          <w:rFonts w:ascii="標楷體" w:eastAsia="標楷體" w:hAnsi="標楷體" w:cs="Times New Roman" w:hint="eastAsia"/>
          <w:bCs/>
          <w:color w:val="000000" w:themeColor="text1"/>
          <w:sz w:val="28"/>
          <w:szCs w:val="28"/>
        </w:rPr>
        <w:t>）年度歲入預算1,</w:t>
      </w:r>
      <w:r w:rsidRPr="000C2EC0">
        <w:rPr>
          <w:rFonts w:ascii="標楷體" w:eastAsia="標楷體" w:hAnsi="標楷體" w:cs="Times New Roman"/>
          <w:bCs/>
          <w:color w:val="000000" w:themeColor="text1"/>
          <w:sz w:val="28"/>
          <w:szCs w:val="28"/>
        </w:rPr>
        <w:t>401</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38</w:t>
      </w:r>
      <w:r w:rsidRPr="000C2EC0">
        <w:rPr>
          <w:rFonts w:ascii="標楷體" w:eastAsia="標楷體" w:hAnsi="標楷體" w:cs="Times New Roman" w:hint="eastAsia"/>
          <w:bCs/>
          <w:color w:val="000000" w:themeColor="text1"/>
          <w:sz w:val="28"/>
          <w:szCs w:val="28"/>
        </w:rPr>
        <w:t>億元，截至</w:t>
      </w:r>
      <w:smartTag w:uri="urn:schemas-microsoft-com:office:smarttags" w:element="chsdate">
        <w:smartTagPr>
          <w:attr w:name="Year" w:val="2017"/>
          <w:attr w:name="Month" w:val="6"/>
          <w:attr w:name="Day" w:val="30"/>
          <w:attr w:name="IsLunarDate" w:val="False"/>
          <w:attr w:name="IsROCDate" w:val="False"/>
        </w:smartTagPr>
        <w:r w:rsidRPr="000C2EC0">
          <w:rPr>
            <w:rFonts w:ascii="標楷體" w:eastAsia="標楷體" w:hAnsi="標楷體" w:cs="Times New Roman"/>
            <w:bCs/>
            <w:color w:val="000000" w:themeColor="text1"/>
            <w:sz w:val="28"/>
            <w:szCs w:val="28"/>
          </w:rPr>
          <w:t>6</w:t>
        </w:r>
        <w:r w:rsidRPr="000C2EC0">
          <w:rPr>
            <w:rFonts w:ascii="標楷體" w:eastAsia="標楷體" w:hAnsi="標楷體" w:cs="Times New Roman" w:hint="eastAsia"/>
            <w:bCs/>
            <w:color w:val="000000" w:themeColor="text1"/>
            <w:sz w:val="28"/>
            <w:szCs w:val="28"/>
          </w:rPr>
          <w:t>月</w:t>
        </w:r>
        <w:r w:rsidRPr="000C2EC0">
          <w:rPr>
            <w:rFonts w:ascii="標楷體" w:eastAsia="標楷體" w:hAnsi="標楷體" w:cs="Times New Roman"/>
            <w:bCs/>
            <w:color w:val="000000" w:themeColor="text1"/>
            <w:sz w:val="28"/>
            <w:szCs w:val="28"/>
          </w:rPr>
          <w:t>30</w:t>
        </w:r>
        <w:r w:rsidRPr="000C2EC0">
          <w:rPr>
            <w:rFonts w:ascii="標楷體" w:eastAsia="標楷體" w:hAnsi="標楷體" w:cs="Times New Roman" w:hint="eastAsia"/>
            <w:bCs/>
            <w:color w:val="000000" w:themeColor="text1"/>
            <w:sz w:val="28"/>
            <w:szCs w:val="28"/>
          </w:rPr>
          <w:t>日</w:t>
        </w:r>
      </w:smartTag>
      <w:r w:rsidRPr="000C2EC0">
        <w:rPr>
          <w:rFonts w:ascii="標楷體" w:eastAsia="標楷體" w:hAnsi="標楷體" w:cs="Times New Roman" w:hint="eastAsia"/>
          <w:bCs/>
          <w:color w:val="000000" w:themeColor="text1"/>
          <w:sz w:val="28"/>
          <w:szCs w:val="28"/>
        </w:rPr>
        <w:t>止，實收數6</w:t>
      </w:r>
      <w:r w:rsidRPr="000C2EC0">
        <w:rPr>
          <w:rFonts w:ascii="標楷體" w:eastAsia="標楷體" w:hAnsi="標楷體" w:cs="Times New Roman"/>
          <w:bCs/>
          <w:color w:val="000000" w:themeColor="text1"/>
          <w:sz w:val="28"/>
          <w:szCs w:val="28"/>
        </w:rPr>
        <w:t>67.88</w:t>
      </w:r>
      <w:r w:rsidRPr="000C2EC0">
        <w:rPr>
          <w:rFonts w:ascii="標楷體" w:eastAsia="標楷體" w:hAnsi="標楷體" w:cs="Times New Roman" w:hint="eastAsia"/>
          <w:bCs/>
          <w:color w:val="000000" w:themeColor="text1"/>
          <w:sz w:val="28"/>
          <w:szCs w:val="28"/>
        </w:rPr>
        <w:t>億元，預算執行率4</w:t>
      </w:r>
      <w:r w:rsidRPr="000C2EC0">
        <w:rPr>
          <w:rFonts w:ascii="標楷體" w:eastAsia="標楷體" w:hAnsi="標楷體" w:cs="Times New Roman"/>
          <w:bCs/>
          <w:color w:val="000000" w:themeColor="text1"/>
          <w:sz w:val="28"/>
          <w:szCs w:val="28"/>
        </w:rPr>
        <w:t>7</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66</w:t>
      </w:r>
      <w:r w:rsidRPr="000C2EC0">
        <w:rPr>
          <w:rFonts w:ascii="標楷體" w:eastAsia="標楷體" w:hAnsi="標楷體" w:cs="Times New Roman" w:hint="eastAsia"/>
          <w:bCs/>
          <w:color w:val="000000" w:themeColor="text1"/>
          <w:sz w:val="28"/>
          <w:szCs w:val="28"/>
        </w:rPr>
        <w:t>％，較去年同期減少1.2％；實質收入預算數9</w:t>
      </w:r>
      <w:r w:rsidRPr="000C2EC0">
        <w:rPr>
          <w:rFonts w:ascii="標楷體" w:eastAsia="標楷體" w:hAnsi="標楷體" w:cs="Times New Roman"/>
          <w:bCs/>
          <w:color w:val="000000" w:themeColor="text1"/>
          <w:sz w:val="28"/>
          <w:szCs w:val="28"/>
        </w:rPr>
        <w:t>84</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64</w:t>
      </w:r>
      <w:r w:rsidRPr="000C2EC0">
        <w:rPr>
          <w:rFonts w:ascii="標楷體" w:eastAsia="標楷體" w:hAnsi="標楷體" w:cs="Times New Roman" w:hint="eastAsia"/>
          <w:bCs/>
          <w:color w:val="000000" w:themeColor="text1"/>
          <w:sz w:val="28"/>
          <w:szCs w:val="28"/>
        </w:rPr>
        <w:t>億元，實收數4</w:t>
      </w:r>
      <w:r w:rsidRPr="000C2EC0">
        <w:rPr>
          <w:rFonts w:ascii="標楷體" w:eastAsia="標楷體" w:hAnsi="標楷體" w:cs="Times New Roman"/>
          <w:bCs/>
          <w:color w:val="000000" w:themeColor="text1"/>
          <w:sz w:val="28"/>
          <w:szCs w:val="28"/>
        </w:rPr>
        <w:t>37</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18</w:t>
      </w:r>
      <w:r w:rsidRPr="000C2EC0">
        <w:rPr>
          <w:rFonts w:ascii="標楷體" w:eastAsia="標楷體" w:hAnsi="標楷體" w:cs="Times New Roman" w:hint="eastAsia"/>
          <w:bCs/>
          <w:color w:val="000000" w:themeColor="text1"/>
          <w:sz w:val="28"/>
          <w:szCs w:val="28"/>
        </w:rPr>
        <w:t>億元，預算執行率4</w:t>
      </w:r>
      <w:r w:rsidRPr="000C2EC0">
        <w:rPr>
          <w:rFonts w:ascii="標楷體" w:eastAsia="標楷體" w:hAnsi="標楷體" w:cs="Times New Roman"/>
          <w:bCs/>
          <w:color w:val="000000" w:themeColor="text1"/>
          <w:sz w:val="28"/>
          <w:szCs w:val="28"/>
        </w:rPr>
        <w:t>4</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40</w:t>
      </w:r>
      <w:r w:rsidRPr="000C2EC0">
        <w:rPr>
          <w:rFonts w:ascii="標楷體" w:eastAsia="標楷體" w:hAnsi="標楷體" w:cs="Times New Roman" w:hint="eastAsia"/>
          <w:bCs/>
          <w:color w:val="000000" w:themeColor="text1"/>
          <w:sz w:val="28"/>
          <w:szCs w:val="28"/>
        </w:rPr>
        <w:t>％，較去年同期減少</w:t>
      </w:r>
      <w:r w:rsidRPr="000C2EC0">
        <w:rPr>
          <w:rFonts w:ascii="標楷體" w:eastAsia="標楷體" w:hAnsi="標楷體" w:cs="Times New Roman"/>
          <w:bCs/>
          <w:color w:val="000000" w:themeColor="text1"/>
          <w:sz w:val="28"/>
          <w:szCs w:val="28"/>
        </w:rPr>
        <w:t>4.28</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本年度受疫情影</w:t>
      </w:r>
      <w:r w:rsidRPr="000C2EC0">
        <w:rPr>
          <w:rFonts w:ascii="標楷體" w:eastAsia="標楷體" w:hAnsi="標楷體" w:cs="Times New Roman" w:hint="eastAsia"/>
          <w:bCs/>
          <w:color w:val="000000" w:themeColor="text1"/>
          <w:sz w:val="28"/>
          <w:szCs w:val="28"/>
        </w:rPr>
        <w:t>響，地方稅、規費收入、財產收入及其他收入執行率皆低於去年同期，其中財產收入</w:t>
      </w:r>
      <w:r w:rsidR="00F76C62" w:rsidRPr="000C2EC0">
        <w:rPr>
          <w:rFonts w:ascii="標楷體" w:eastAsia="標楷體" w:hAnsi="標楷體" w:cs="Times New Roman" w:hint="eastAsia"/>
          <w:bCs/>
          <w:color w:val="000000" w:themeColor="text1"/>
          <w:sz w:val="28"/>
          <w:szCs w:val="28"/>
        </w:rPr>
        <w:t>主要係因配合市府政策暫緩辦理標售作業致短收。（詳如附表）</w:t>
      </w:r>
    </w:p>
    <w:p w:rsidR="00297AAD" w:rsidRPr="000C2EC0" w:rsidRDefault="00297AAD" w:rsidP="002C7CB8">
      <w:pPr>
        <w:widowControl/>
        <w:snapToGrid w:val="0"/>
        <w:spacing w:beforeLines="50" w:before="180" w:afterLines="50" w:after="180" w:line="320" w:lineRule="exact"/>
        <w:ind w:leftChars="133" w:left="1279" w:rightChars="294" w:right="706" w:hangingChars="300" w:hanging="960"/>
        <w:jc w:val="both"/>
        <w:rPr>
          <w:rFonts w:ascii="標楷體" w:eastAsia="標楷體" w:hAnsi="Times New Roman" w:cs="Times New Roman"/>
          <w:color w:val="000000" w:themeColor="text1"/>
          <w:kern w:val="0"/>
          <w:szCs w:val="24"/>
        </w:rPr>
      </w:pPr>
      <w:r w:rsidRPr="000C2EC0">
        <w:rPr>
          <w:rFonts w:ascii="標楷體" w:eastAsia="標楷體" w:hAnsi="Times New Roman" w:cs="標楷體" w:hint="eastAsia"/>
          <w:color w:val="000000" w:themeColor="text1"/>
          <w:kern w:val="0"/>
          <w:sz w:val="32"/>
          <w:szCs w:val="32"/>
        </w:rPr>
        <w:t xml:space="preserve">                                     </w:t>
      </w:r>
      <w:r w:rsidRPr="000C2EC0">
        <w:rPr>
          <w:rFonts w:ascii="標楷體" w:eastAsia="標楷體" w:hAnsi="Times New Roman" w:cs="標楷體" w:hint="eastAsia"/>
          <w:color w:val="000000" w:themeColor="text1"/>
          <w:kern w:val="0"/>
          <w:szCs w:val="24"/>
        </w:rPr>
        <w:t>單位：億元</w:t>
      </w:r>
    </w:p>
    <w:tbl>
      <w:tblPr>
        <w:tblW w:w="850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1559"/>
        <w:gridCol w:w="1265"/>
        <w:gridCol w:w="1276"/>
        <w:gridCol w:w="992"/>
        <w:gridCol w:w="1276"/>
        <w:gridCol w:w="992"/>
        <w:gridCol w:w="1145"/>
      </w:tblGrid>
      <w:tr w:rsidR="000C2EC0" w:rsidRPr="000C2EC0" w:rsidTr="00F37E09">
        <w:trPr>
          <w:cantSplit/>
          <w:trHeight w:val="501"/>
        </w:trPr>
        <w:tc>
          <w:tcPr>
            <w:tcW w:w="1559" w:type="dxa"/>
            <w:vMerge w:val="restart"/>
            <w:tcBorders>
              <w:top w:val="single" w:sz="4" w:space="0" w:color="auto"/>
              <w:left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科目</w:t>
            </w:r>
          </w:p>
        </w:tc>
        <w:tc>
          <w:tcPr>
            <w:tcW w:w="3533" w:type="dxa"/>
            <w:gridSpan w:val="3"/>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1</w:t>
            </w:r>
            <w:r w:rsidRPr="000C2EC0">
              <w:rPr>
                <w:rFonts w:ascii="標楷體" w:eastAsia="標楷體" w:hAnsi="Times New Roman" w:cs="標楷體"/>
                <w:color w:val="000000" w:themeColor="text1"/>
                <w:kern w:val="0"/>
                <w:sz w:val="28"/>
                <w:szCs w:val="28"/>
              </w:rPr>
              <w:t>09年度</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去年同期</w:t>
            </w:r>
          </w:p>
        </w:tc>
        <w:tc>
          <w:tcPr>
            <w:tcW w:w="1145" w:type="dxa"/>
            <w:vMerge w:val="restart"/>
            <w:tcBorders>
              <w:top w:val="single" w:sz="4" w:space="0" w:color="auto"/>
              <w:left w:val="single" w:sz="4" w:space="0" w:color="auto"/>
              <w:right w:val="single" w:sz="4" w:space="0" w:color="auto"/>
            </w:tcBorders>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p>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執行率％</w:t>
            </w:r>
            <w:r w:rsidRPr="000C2EC0">
              <w:rPr>
                <w:rFonts w:ascii="標楷體" w:eastAsia="標楷體" w:hAnsi="Times New Roman" w:cs="標楷體"/>
                <w:color w:val="000000" w:themeColor="text1"/>
                <w:kern w:val="0"/>
                <w:sz w:val="28"/>
                <w:szCs w:val="28"/>
              </w:rPr>
              <w:t>比較</w:t>
            </w:r>
          </w:p>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增減</w:t>
            </w:r>
          </w:p>
        </w:tc>
      </w:tr>
      <w:tr w:rsidR="000C2EC0" w:rsidRPr="000C2EC0" w:rsidTr="00624CEA">
        <w:trPr>
          <w:cantSplit/>
          <w:trHeight w:val="756"/>
        </w:trPr>
        <w:tc>
          <w:tcPr>
            <w:tcW w:w="1559" w:type="dxa"/>
            <w:vMerge/>
            <w:tcBorders>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標楷體" w:cs="Times New Roman"/>
                <w:color w:val="000000" w:themeColor="text1"/>
                <w:kern w:val="0"/>
                <w:sz w:val="28"/>
                <w:szCs w:val="28"/>
              </w:rPr>
            </w:pPr>
            <w:r w:rsidRPr="000C2EC0">
              <w:rPr>
                <w:rFonts w:ascii="標楷體" w:eastAsia="標楷體" w:hAnsi="Times New Roman" w:cs="標楷體" w:hint="eastAsia"/>
                <w:color w:val="000000" w:themeColor="text1"/>
                <w:kern w:val="0"/>
                <w:sz w:val="28"/>
                <w:szCs w:val="28"/>
              </w:rPr>
              <w:t>預算數</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標楷體" w:cs="Times New Roman"/>
                <w:color w:val="000000" w:themeColor="text1"/>
                <w:kern w:val="0"/>
                <w:sz w:val="28"/>
                <w:szCs w:val="28"/>
              </w:rPr>
            </w:pPr>
            <w:r w:rsidRPr="000C2EC0">
              <w:rPr>
                <w:rFonts w:ascii="標楷體" w:eastAsia="標楷體" w:hAnsi="Times New Roman" w:cs="標楷體" w:hint="eastAsia"/>
                <w:color w:val="000000" w:themeColor="text1"/>
                <w:kern w:val="0"/>
                <w:sz w:val="28"/>
                <w:szCs w:val="28"/>
              </w:rPr>
              <w:t>截至6</w:t>
            </w:r>
            <w:r w:rsidRPr="000C2EC0">
              <w:rPr>
                <w:rFonts w:ascii="標楷體" w:eastAsia="標楷體" w:hAnsi="Times New Roman" w:cs="標楷體"/>
                <w:color w:val="000000" w:themeColor="text1"/>
                <w:kern w:val="0"/>
                <w:sz w:val="28"/>
                <w:szCs w:val="28"/>
              </w:rPr>
              <w:t>/30</w:t>
            </w:r>
            <w:r w:rsidRPr="000C2EC0">
              <w:rPr>
                <w:rFonts w:ascii="標楷體" w:eastAsia="標楷體" w:hAnsi="Times New Roman" w:cs="標楷體" w:hint="eastAsia"/>
                <w:color w:val="000000" w:themeColor="text1"/>
                <w:kern w:val="0"/>
                <w:sz w:val="28"/>
                <w:szCs w:val="28"/>
              </w:rPr>
              <w:t>實收數</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預算執行率％</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截至6</w:t>
            </w:r>
            <w:r w:rsidRPr="000C2EC0">
              <w:rPr>
                <w:rFonts w:ascii="標楷體" w:eastAsia="標楷體" w:hAnsi="Times New Roman" w:cs="標楷體"/>
                <w:color w:val="000000" w:themeColor="text1"/>
                <w:kern w:val="0"/>
                <w:sz w:val="28"/>
                <w:szCs w:val="28"/>
              </w:rPr>
              <w:t>/30</w:t>
            </w:r>
            <w:r w:rsidRPr="000C2EC0">
              <w:rPr>
                <w:rFonts w:ascii="標楷體" w:eastAsia="標楷體" w:hAnsi="Times New Roman" w:cs="標楷體" w:hint="eastAsia"/>
                <w:color w:val="000000" w:themeColor="text1"/>
                <w:kern w:val="0"/>
                <w:sz w:val="28"/>
                <w:szCs w:val="28"/>
              </w:rPr>
              <w:t>實收數</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20" w:lineRule="exact"/>
              <w:jc w:val="both"/>
              <w:rPr>
                <w:rFonts w:ascii="標楷體" w:eastAsia="標楷體" w:hAnsi="標楷體" w:cs="Times New Roman"/>
                <w:color w:val="000000" w:themeColor="text1"/>
                <w:kern w:val="0"/>
                <w:sz w:val="28"/>
                <w:szCs w:val="28"/>
              </w:rPr>
            </w:pPr>
            <w:r w:rsidRPr="000C2EC0">
              <w:rPr>
                <w:rFonts w:ascii="標楷體" w:eastAsia="標楷體" w:hAnsi="Times New Roman" w:cs="標楷體" w:hint="eastAsia"/>
                <w:color w:val="000000" w:themeColor="text1"/>
                <w:kern w:val="0"/>
                <w:sz w:val="28"/>
                <w:szCs w:val="28"/>
              </w:rPr>
              <w:t>預算執行率％</w:t>
            </w:r>
          </w:p>
        </w:tc>
        <w:tc>
          <w:tcPr>
            <w:tcW w:w="1145" w:type="dxa"/>
            <w:vMerge/>
            <w:tcBorders>
              <w:left w:val="single" w:sz="4" w:space="0" w:color="auto"/>
              <w:bottom w:val="single" w:sz="4" w:space="0" w:color="auto"/>
              <w:right w:val="single" w:sz="4" w:space="0" w:color="auto"/>
            </w:tcBorders>
          </w:tcPr>
          <w:p w:rsidR="00297AAD" w:rsidRPr="000C2EC0" w:rsidRDefault="00297AAD" w:rsidP="002C7CB8">
            <w:pPr>
              <w:widowControl/>
              <w:spacing w:line="320" w:lineRule="exact"/>
              <w:jc w:val="both"/>
              <w:rPr>
                <w:rFonts w:ascii="標楷體" w:eastAsia="標楷體" w:hAnsi="Times New Roman" w:cs="標楷體"/>
                <w:color w:val="000000" w:themeColor="text1"/>
                <w:kern w:val="0"/>
                <w:sz w:val="28"/>
                <w:szCs w:val="28"/>
              </w:rPr>
            </w:pPr>
          </w:p>
        </w:tc>
      </w:tr>
      <w:tr w:rsidR="000C2EC0" w:rsidRPr="000C2EC0" w:rsidTr="00624CEA">
        <w:trPr>
          <w:cantSplit/>
          <w:trHeight w:val="385"/>
        </w:trPr>
        <w:tc>
          <w:tcPr>
            <w:tcW w:w="1559"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稅課收入</w:t>
            </w:r>
            <w:r w:rsidRPr="000C2EC0">
              <w:rPr>
                <w:rFonts w:ascii="標楷體" w:eastAsia="標楷體" w:hAnsi="Times New Roman" w:cs="標楷體" w:hint="eastAsia"/>
                <w:color w:val="000000" w:themeColor="text1"/>
                <w:kern w:val="0"/>
                <w:sz w:val="28"/>
                <w:szCs w:val="28"/>
              </w:rPr>
              <w:t xml:space="preserve"> </w:t>
            </w:r>
            <w:r w:rsidRPr="000C2EC0">
              <w:rPr>
                <w:rFonts w:ascii="標楷體" w:eastAsia="標楷體" w:hAnsi="Times New Roman" w:cs="標楷體"/>
                <w:color w:val="000000" w:themeColor="text1"/>
                <w:kern w:val="0"/>
                <w:sz w:val="28"/>
                <w:szCs w:val="28"/>
              </w:rPr>
              <w:t xml:space="preserve"> </w:t>
            </w:r>
            <w:r w:rsidRPr="000C2EC0">
              <w:rPr>
                <w:rFonts w:ascii="標楷體" w:eastAsia="標楷體" w:hAnsi="Times New Roman" w:cs="標楷體" w:hint="eastAsia"/>
                <w:color w:val="000000" w:themeColor="text1"/>
                <w:kern w:val="0"/>
                <w:sz w:val="16"/>
                <w:szCs w:val="16"/>
              </w:rPr>
              <w:t>（1）</w:t>
            </w: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778.11</w:t>
            </w:r>
            <w:r w:rsidRPr="000C2EC0">
              <w:rPr>
                <w:rFonts w:ascii="標楷體" w:eastAsia="標楷體" w:hAnsi="Times New Roman" w:cs="標楷體" w:hint="eastAsia"/>
                <w:color w:val="000000" w:themeColor="text1"/>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3</w:t>
            </w:r>
            <w:r w:rsidRPr="000C2EC0">
              <w:rPr>
                <w:rFonts w:ascii="標楷體" w:eastAsia="標楷體" w:hAnsi="標楷體" w:cs="標楷體"/>
                <w:color w:val="000000" w:themeColor="text1"/>
                <w:kern w:val="0"/>
                <w:sz w:val="28"/>
                <w:szCs w:val="28"/>
              </w:rPr>
              <w:t>77</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21</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48</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48</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38</w:t>
            </w:r>
            <w:r w:rsidRPr="000C2EC0">
              <w:rPr>
                <w:rFonts w:ascii="標楷體" w:eastAsia="標楷體" w:hAnsi="標楷體" w:cs="標楷體"/>
                <w:color w:val="000000" w:themeColor="text1"/>
                <w:kern w:val="0"/>
                <w:sz w:val="28"/>
                <w:szCs w:val="28"/>
              </w:rPr>
              <w:t>7</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15</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52</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62</w:t>
            </w:r>
          </w:p>
        </w:tc>
        <w:tc>
          <w:tcPr>
            <w:tcW w:w="114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-4</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14</w:t>
            </w:r>
          </w:p>
        </w:tc>
      </w:tr>
      <w:tr w:rsidR="000C2EC0" w:rsidRPr="000C2EC0" w:rsidTr="00624CEA">
        <w:trPr>
          <w:cantSplit/>
          <w:trHeight w:val="367"/>
        </w:trPr>
        <w:tc>
          <w:tcPr>
            <w:tcW w:w="1559"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非稅課收入</w:t>
            </w:r>
            <w:r w:rsidRPr="000C2EC0">
              <w:rPr>
                <w:rFonts w:ascii="標楷體" w:eastAsia="標楷體" w:hAnsi="Times New Roman" w:cs="標楷體" w:hint="eastAsia"/>
                <w:color w:val="000000" w:themeColor="text1"/>
                <w:kern w:val="0"/>
                <w:sz w:val="16"/>
                <w:szCs w:val="16"/>
              </w:rPr>
              <w:t>（</w:t>
            </w:r>
            <w:r w:rsidRPr="000C2EC0">
              <w:rPr>
                <w:rFonts w:ascii="標楷體" w:eastAsia="標楷體" w:hAnsi="Times New Roman" w:cs="標楷體"/>
                <w:color w:val="000000" w:themeColor="text1"/>
                <w:kern w:val="0"/>
                <w:sz w:val="16"/>
                <w:szCs w:val="16"/>
              </w:rPr>
              <w:t>2</w:t>
            </w:r>
            <w:r w:rsidRPr="000C2EC0">
              <w:rPr>
                <w:rFonts w:ascii="標楷體" w:eastAsia="標楷體" w:hAnsi="Times New Roman" w:cs="標楷體" w:hint="eastAsia"/>
                <w:color w:val="000000" w:themeColor="text1"/>
                <w:kern w:val="0"/>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206.53</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59</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97</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29</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04</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76</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35</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27</w:t>
            </w:r>
          </w:p>
        </w:tc>
        <w:tc>
          <w:tcPr>
            <w:tcW w:w="114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-6</w:t>
            </w:r>
            <w:r w:rsidRPr="000C2EC0">
              <w:rPr>
                <w:rFonts w:ascii="標楷體" w:eastAsia="標楷體" w:hAnsi="標楷體" w:cs="標楷體" w:hint="eastAsia"/>
                <w:color w:val="000000" w:themeColor="text1"/>
                <w:kern w:val="0"/>
                <w:sz w:val="28"/>
                <w:szCs w:val="28"/>
              </w:rPr>
              <w:t>.2</w:t>
            </w:r>
            <w:r w:rsidRPr="000C2EC0">
              <w:rPr>
                <w:rFonts w:ascii="標楷體" w:eastAsia="標楷體" w:hAnsi="標楷體" w:cs="標楷體"/>
                <w:color w:val="000000" w:themeColor="text1"/>
                <w:kern w:val="0"/>
                <w:sz w:val="28"/>
                <w:szCs w:val="28"/>
              </w:rPr>
              <w:t>3</w:t>
            </w:r>
          </w:p>
        </w:tc>
      </w:tr>
      <w:tr w:rsidR="000C2EC0" w:rsidRPr="000C2EC0" w:rsidTr="00624CEA">
        <w:trPr>
          <w:cantSplit/>
          <w:trHeight w:val="334"/>
        </w:trPr>
        <w:tc>
          <w:tcPr>
            <w:tcW w:w="1559"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實質收入</w:t>
            </w:r>
            <w:r w:rsidRPr="000C2EC0">
              <w:rPr>
                <w:rFonts w:ascii="標楷體" w:eastAsia="標楷體" w:hAnsi="Times New Roman" w:cs="標楷體" w:hint="eastAsia"/>
                <w:color w:val="000000" w:themeColor="text1"/>
                <w:kern w:val="0"/>
                <w:sz w:val="16"/>
                <w:szCs w:val="16"/>
              </w:rPr>
              <w:t>（1+</w:t>
            </w:r>
            <w:r w:rsidRPr="000C2EC0">
              <w:rPr>
                <w:rFonts w:ascii="標楷體" w:eastAsia="標楷體" w:hAnsi="Times New Roman" w:cs="標楷體"/>
                <w:color w:val="000000" w:themeColor="text1"/>
                <w:kern w:val="0"/>
                <w:sz w:val="16"/>
                <w:szCs w:val="16"/>
              </w:rPr>
              <w:t>2</w:t>
            </w:r>
            <w:r w:rsidRPr="000C2EC0">
              <w:rPr>
                <w:rFonts w:ascii="標楷體" w:eastAsia="標楷體" w:hAnsi="Times New Roman" w:cs="標楷體" w:hint="eastAsia"/>
                <w:color w:val="000000" w:themeColor="text1"/>
                <w:kern w:val="0"/>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984.64</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37</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18</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4</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40</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63</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8</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68</w:t>
            </w:r>
          </w:p>
        </w:tc>
        <w:tc>
          <w:tcPr>
            <w:tcW w:w="114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-4</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28</w:t>
            </w:r>
          </w:p>
        </w:tc>
      </w:tr>
      <w:tr w:rsidR="000C2EC0" w:rsidRPr="000C2EC0" w:rsidTr="00624CEA">
        <w:trPr>
          <w:cantSplit/>
          <w:trHeight w:val="190"/>
        </w:trPr>
        <w:tc>
          <w:tcPr>
            <w:tcW w:w="1559"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補助收入</w:t>
            </w:r>
            <w:r w:rsidRPr="000C2EC0">
              <w:rPr>
                <w:rFonts w:ascii="標楷體" w:eastAsia="標楷體" w:hAnsi="Times New Roman" w:cs="標楷體" w:hint="eastAsia"/>
                <w:color w:val="000000" w:themeColor="text1"/>
                <w:kern w:val="0"/>
                <w:sz w:val="16"/>
                <w:szCs w:val="16"/>
              </w:rPr>
              <w:t>（</w:t>
            </w:r>
            <w:r w:rsidRPr="000C2EC0">
              <w:rPr>
                <w:rFonts w:ascii="標楷體" w:eastAsia="標楷體" w:hAnsi="Times New Roman" w:cs="標楷體"/>
                <w:color w:val="000000" w:themeColor="text1"/>
                <w:kern w:val="0"/>
                <w:sz w:val="16"/>
                <w:szCs w:val="16"/>
              </w:rPr>
              <w:t>3</w:t>
            </w:r>
            <w:r w:rsidRPr="000C2EC0">
              <w:rPr>
                <w:rFonts w:ascii="標楷體" w:eastAsia="標楷體" w:hAnsi="Times New Roman" w:cs="標楷體" w:hint="eastAsia"/>
                <w:color w:val="000000" w:themeColor="text1"/>
                <w:kern w:val="0"/>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color w:val="000000" w:themeColor="text1"/>
                <w:kern w:val="0"/>
                <w:sz w:val="28"/>
                <w:szCs w:val="28"/>
              </w:rPr>
              <w:t>416.74</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230</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70</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55</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36</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156</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76</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49</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40</w:t>
            </w:r>
          </w:p>
        </w:tc>
        <w:tc>
          <w:tcPr>
            <w:tcW w:w="114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5</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96</w:t>
            </w:r>
          </w:p>
        </w:tc>
      </w:tr>
      <w:tr w:rsidR="000C2EC0" w:rsidRPr="000C2EC0" w:rsidTr="00624CEA">
        <w:trPr>
          <w:cantSplit/>
          <w:trHeight w:val="237"/>
        </w:trPr>
        <w:tc>
          <w:tcPr>
            <w:tcW w:w="1559" w:type="dxa"/>
            <w:tcBorders>
              <w:top w:val="single" w:sz="4" w:space="0" w:color="auto"/>
              <w:left w:val="single" w:sz="4" w:space="0" w:color="auto"/>
              <w:bottom w:val="single" w:sz="4" w:space="0" w:color="auto"/>
              <w:right w:val="single" w:sz="4" w:space="0" w:color="auto"/>
            </w:tcBorders>
            <w:vAlign w:val="center"/>
          </w:tcPr>
          <w:p w:rsidR="00F37E09" w:rsidRPr="000C2EC0" w:rsidRDefault="00297AAD" w:rsidP="002C7CB8">
            <w:pPr>
              <w:widowControl/>
              <w:spacing w:line="360" w:lineRule="exact"/>
              <w:ind w:left="1400" w:hangingChars="500" w:hanging="1400"/>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歲入總計</w:t>
            </w:r>
          </w:p>
          <w:p w:rsidR="00297AAD" w:rsidRPr="000C2EC0" w:rsidRDefault="00297AAD" w:rsidP="002C7CB8">
            <w:pPr>
              <w:widowControl/>
              <w:spacing w:line="360" w:lineRule="exact"/>
              <w:ind w:left="800" w:hangingChars="500" w:hanging="800"/>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16"/>
                <w:szCs w:val="16"/>
              </w:rPr>
              <w:t>（1+</w:t>
            </w:r>
            <w:r w:rsidRPr="000C2EC0">
              <w:rPr>
                <w:rFonts w:ascii="標楷體" w:eastAsia="標楷體" w:hAnsi="Times New Roman" w:cs="標楷體"/>
                <w:color w:val="000000" w:themeColor="text1"/>
                <w:kern w:val="0"/>
                <w:sz w:val="16"/>
                <w:szCs w:val="16"/>
              </w:rPr>
              <w:t>2</w:t>
            </w:r>
            <w:r w:rsidRPr="000C2EC0">
              <w:rPr>
                <w:rFonts w:ascii="標楷體" w:eastAsia="標楷體" w:hAnsi="Times New Roman" w:cs="標楷體" w:hint="eastAsia"/>
                <w:color w:val="000000" w:themeColor="text1"/>
                <w:kern w:val="0"/>
                <w:sz w:val="16"/>
                <w:szCs w:val="16"/>
              </w:rPr>
              <w:t>+</w:t>
            </w:r>
            <w:r w:rsidRPr="000C2EC0">
              <w:rPr>
                <w:rFonts w:ascii="標楷體" w:eastAsia="標楷體" w:hAnsi="Times New Roman" w:cs="標楷體"/>
                <w:color w:val="000000" w:themeColor="text1"/>
                <w:kern w:val="0"/>
                <w:sz w:val="16"/>
                <w:szCs w:val="16"/>
              </w:rPr>
              <w:t>3</w:t>
            </w:r>
            <w:r w:rsidRPr="000C2EC0">
              <w:rPr>
                <w:rFonts w:ascii="標楷體" w:eastAsia="標楷體" w:hAnsi="Times New Roman" w:cs="標楷體" w:hint="eastAsia"/>
                <w:color w:val="000000" w:themeColor="text1"/>
                <w:kern w:val="0"/>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pacing w:line="360" w:lineRule="exact"/>
              <w:jc w:val="both"/>
              <w:rPr>
                <w:rFonts w:ascii="標楷體" w:eastAsia="標楷體" w:hAnsi="Times New Roman" w:cs="標楷體"/>
                <w:color w:val="000000" w:themeColor="text1"/>
                <w:kern w:val="0"/>
                <w:sz w:val="28"/>
                <w:szCs w:val="28"/>
              </w:rPr>
            </w:pPr>
            <w:r w:rsidRPr="000C2EC0">
              <w:rPr>
                <w:rFonts w:ascii="標楷體" w:eastAsia="標楷體" w:hAnsi="Times New Roman" w:cs="標楷體" w:hint="eastAsia"/>
                <w:color w:val="000000" w:themeColor="text1"/>
                <w:kern w:val="0"/>
                <w:sz w:val="28"/>
                <w:szCs w:val="28"/>
              </w:rPr>
              <w:t>1,</w:t>
            </w:r>
            <w:r w:rsidRPr="000C2EC0">
              <w:rPr>
                <w:rFonts w:ascii="標楷體" w:eastAsia="標楷體" w:hAnsi="Times New Roman" w:cs="標楷體"/>
                <w:color w:val="000000" w:themeColor="text1"/>
                <w:kern w:val="0"/>
                <w:sz w:val="28"/>
                <w:szCs w:val="28"/>
              </w:rPr>
              <w:t>401.38</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667</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88</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7</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66</w:t>
            </w:r>
          </w:p>
        </w:tc>
        <w:tc>
          <w:tcPr>
            <w:tcW w:w="1276"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620</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21</w:t>
            </w:r>
          </w:p>
        </w:tc>
        <w:tc>
          <w:tcPr>
            <w:tcW w:w="992"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hint="eastAsia"/>
                <w:color w:val="000000" w:themeColor="text1"/>
                <w:kern w:val="0"/>
                <w:sz w:val="28"/>
                <w:szCs w:val="28"/>
              </w:rPr>
              <w:t>4</w:t>
            </w:r>
            <w:r w:rsidRPr="000C2EC0">
              <w:rPr>
                <w:rFonts w:ascii="標楷體" w:eastAsia="標楷體" w:hAnsi="標楷體" w:cs="標楷體"/>
                <w:color w:val="000000" w:themeColor="text1"/>
                <w:kern w:val="0"/>
                <w:sz w:val="28"/>
                <w:szCs w:val="28"/>
              </w:rPr>
              <w:t>8</w:t>
            </w:r>
            <w:r w:rsidRPr="000C2EC0">
              <w:rPr>
                <w:rFonts w:ascii="標楷體" w:eastAsia="標楷體" w:hAnsi="標楷體" w:cs="標楷體" w:hint="eastAsia"/>
                <w:color w:val="000000" w:themeColor="text1"/>
                <w:kern w:val="0"/>
                <w:sz w:val="28"/>
                <w:szCs w:val="28"/>
              </w:rPr>
              <w:t>.</w:t>
            </w:r>
            <w:r w:rsidRPr="000C2EC0">
              <w:rPr>
                <w:rFonts w:ascii="標楷體" w:eastAsia="標楷體" w:hAnsi="標楷體" w:cs="標楷體"/>
                <w:color w:val="000000" w:themeColor="text1"/>
                <w:kern w:val="0"/>
                <w:sz w:val="28"/>
                <w:szCs w:val="28"/>
              </w:rPr>
              <w:t>86</w:t>
            </w:r>
          </w:p>
        </w:tc>
        <w:tc>
          <w:tcPr>
            <w:tcW w:w="1145" w:type="dxa"/>
            <w:tcBorders>
              <w:top w:val="single" w:sz="4" w:space="0" w:color="auto"/>
              <w:left w:val="single" w:sz="4" w:space="0" w:color="auto"/>
              <w:bottom w:val="single" w:sz="4" w:space="0" w:color="auto"/>
              <w:right w:val="single" w:sz="4" w:space="0" w:color="auto"/>
            </w:tcBorders>
            <w:vAlign w:val="center"/>
          </w:tcPr>
          <w:p w:rsidR="00297AAD" w:rsidRPr="000C2EC0" w:rsidRDefault="00297AAD" w:rsidP="002C7CB8">
            <w:pPr>
              <w:widowControl/>
              <w:snapToGrid w:val="0"/>
              <w:spacing w:line="360" w:lineRule="exact"/>
              <w:ind w:right="120"/>
              <w:jc w:val="both"/>
              <w:rPr>
                <w:rFonts w:ascii="標楷體" w:eastAsia="標楷體" w:hAnsi="標楷體" w:cs="標楷體"/>
                <w:color w:val="000000" w:themeColor="text1"/>
                <w:kern w:val="0"/>
                <w:sz w:val="28"/>
                <w:szCs w:val="28"/>
              </w:rPr>
            </w:pPr>
            <w:r w:rsidRPr="000C2EC0">
              <w:rPr>
                <w:rFonts w:ascii="標楷體" w:eastAsia="標楷體" w:hAnsi="標楷體" w:cs="標楷體"/>
                <w:color w:val="000000" w:themeColor="text1"/>
                <w:kern w:val="0"/>
                <w:sz w:val="28"/>
                <w:szCs w:val="28"/>
              </w:rPr>
              <w:t>-1.20</w:t>
            </w:r>
          </w:p>
        </w:tc>
      </w:tr>
    </w:tbl>
    <w:p w:rsidR="00297AAD" w:rsidRPr="000C2EC0" w:rsidRDefault="00297AAD"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1.稅課收入</w:t>
      </w:r>
    </w:p>
    <w:p w:rsidR="00297AAD" w:rsidRPr="000C2EC0" w:rsidRDefault="00F37E09" w:rsidP="00624CEA">
      <w:pPr>
        <w:adjustRightInd w:val="0"/>
        <w:snapToGrid w:val="0"/>
        <w:spacing w:line="276" w:lineRule="auto"/>
        <w:ind w:leftChars="580" w:left="1700" w:hangingChars="110" w:hanging="308"/>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w:t>
      </w:r>
      <w:r w:rsidR="00297AAD" w:rsidRPr="000C2EC0">
        <w:rPr>
          <w:rFonts w:ascii="標楷體" w:eastAsia="標楷體" w:hAnsi="標楷體" w:cs="超研澤粗黑" w:hint="eastAsia"/>
          <w:color w:val="000000" w:themeColor="text1"/>
          <w:sz w:val="28"/>
          <w:szCs w:val="28"/>
        </w:rPr>
        <w:t>預算數7</w:t>
      </w:r>
      <w:r w:rsidR="00297AAD" w:rsidRPr="000C2EC0">
        <w:rPr>
          <w:rFonts w:ascii="標楷體" w:eastAsia="標楷體" w:hAnsi="標楷體" w:cs="超研澤粗黑"/>
          <w:color w:val="000000" w:themeColor="text1"/>
          <w:sz w:val="28"/>
          <w:szCs w:val="28"/>
        </w:rPr>
        <w:t>78.11</w:t>
      </w:r>
      <w:r w:rsidR="00297AAD" w:rsidRPr="000C2EC0">
        <w:rPr>
          <w:rFonts w:ascii="標楷體" w:eastAsia="標楷體" w:hAnsi="標楷體" w:cs="超研澤粗黑" w:hint="eastAsia"/>
          <w:color w:val="000000" w:themeColor="text1"/>
          <w:sz w:val="28"/>
          <w:szCs w:val="28"/>
        </w:rPr>
        <w:t>億元，實收數3</w:t>
      </w:r>
      <w:r w:rsidR="00297AAD" w:rsidRPr="000C2EC0">
        <w:rPr>
          <w:rFonts w:ascii="標楷體" w:eastAsia="標楷體" w:hAnsi="標楷體" w:cs="超研澤粗黑"/>
          <w:color w:val="000000" w:themeColor="text1"/>
          <w:sz w:val="28"/>
          <w:szCs w:val="28"/>
        </w:rPr>
        <w:t>77</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21</w:t>
      </w:r>
      <w:r w:rsidR="00297AAD" w:rsidRPr="000C2EC0">
        <w:rPr>
          <w:rFonts w:ascii="標楷體" w:eastAsia="標楷體" w:hAnsi="標楷體" w:cs="超研澤粗黑" w:hint="eastAsia"/>
          <w:color w:val="000000" w:themeColor="text1"/>
          <w:sz w:val="28"/>
          <w:szCs w:val="28"/>
        </w:rPr>
        <w:t>億元，預算執行率</w:t>
      </w:r>
      <w:r w:rsidR="00297AAD" w:rsidRPr="000C2EC0">
        <w:rPr>
          <w:rFonts w:ascii="標楷體" w:eastAsia="標楷體" w:hAnsi="標楷體" w:cs="超研澤粗黑"/>
          <w:color w:val="000000" w:themeColor="text1"/>
          <w:sz w:val="28"/>
          <w:szCs w:val="28"/>
        </w:rPr>
        <w:t>48</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48</w:t>
      </w:r>
      <w:r w:rsidR="00297AAD" w:rsidRPr="000C2EC0">
        <w:rPr>
          <w:rFonts w:ascii="標楷體" w:eastAsia="標楷體" w:hAnsi="標楷體" w:cs="超研澤粗黑" w:hint="eastAsia"/>
          <w:color w:val="000000" w:themeColor="text1"/>
          <w:sz w:val="28"/>
          <w:szCs w:val="28"/>
        </w:rPr>
        <w:t>％，較去年同期減少4.</w:t>
      </w:r>
      <w:r w:rsidR="00297AAD" w:rsidRPr="000C2EC0">
        <w:rPr>
          <w:rFonts w:ascii="標楷體" w:eastAsia="標楷體" w:hAnsi="標楷體" w:cs="超研澤粗黑"/>
          <w:color w:val="000000" w:themeColor="text1"/>
          <w:sz w:val="28"/>
          <w:szCs w:val="28"/>
        </w:rPr>
        <w:t>14</w:t>
      </w:r>
      <w:r w:rsidR="00297AAD" w:rsidRPr="000C2EC0">
        <w:rPr>
          <w:rFonts w:ascii="標楷體" w:eastAsia="標楷體" w:hAnsi="標楷體" w:cs="超研澤粗黑" w:hint="eastAsia"/>
          <w:color w:val="000000" w:themeColor="text1"/>
          <w:sz w:val="28"/>
          <w:szCs w:val="28"/>
        </w:rPr>
        <w:t>％。地方稅部分，實收數2</w:t>
      </w:r>
      <w:r w:rsidR="00297AAD" w:rsidRPr="000C2EC0">
        <w:rPr>
          <w:rFonts w:ascii="標楷體" w:eastAsia="標楷體" w:hAnsi="標楷體" w:cs="超研澤粗黑"/>
          <w:color w:val="000000" w:themeColor="text1"/>
          <w:sz w:val="28"/>
          <w:szCs w:val="28"/>
        </w:rPr>
        <w:t>18</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94</w:t>
      </w:r>
      <w:r w:rsidR="00297AAD" w:rsidRPr="000C2EC0">
        <w:rPr>
          <w:rFonts w:ascii="標楷體" w:eastAsia="標楷體" w:hAnsi="標楷體" w:cs="超研澤粗黑" w:hint="eastAsia"/>
          <w:color w:val="000000" w:themeColor="text1"/>
          <w:sz w:val="28"/>
          <w:szCs w:val="28"/>
        </w:rPr>
        <w:t>億元，其中使用牌照稅、房屋稅及地價稅（11</w:t>
      </w:r>
      <w:r w:rsidR="00297AAD" w:rsidRPr="000C2EC0">
        <w:rPr>
          <w:rFonts w:ascii="標楷體" w:eastAsia="標楷體" w:hAnsi="標楷體" w:cs="超研澤粗黑"/>
          <w:color w:val="000000" w:themeColor="text1"/>
          <w:sz w:val="28"/>
          <w:szCs w:val="28"/>
        </w:rPr>
        <w:t>月</w:t>
      </w:r>
      <w:r w:rsidR="00297AAD" w:rsidRPr="000C2EC0">
        <w:rPr>
          <w:rFonts w:ascii="標楷體" w:eastAsia="標楷體" w:hAnsi="標楷體" w:cs="超研澤粗黑" w:hint="eastAsia"/>
          <w:color w:val="000000" w:themeColor="text1"/>
          <w:sz w:val="28"/>
          <w:szCs w:val="28"/>
        </w:rPr>
        <w:t>開徵）執行率分別為9</w:t>
      </w:r>
      <w:r w:rsidR="00297AAD" w:rsidRPr="000C2EC0">
        <w:rPr>
          <w:rFonts w:ascii="標楷體" w:eastAsia="標楷體" w:hAnsi="標楷體" w:cs="超研澤粗黑"/>
          <w:color w:val="000000" w:themeColor="text1"/>
          <w:sz w:val="28"/>
          <w:szCs w:val="28"/>
        </w:rPr>
        <w:t>5</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70</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 xml:space="preserve"> 89</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72</w:t>
      </w:r>
      <w:r w:rsidR="00297AAD" w:rsidRPr="000C2EC0">
        <w:rPr>
          <w:rFonts w:ascii="標楷體" w:eastAsia="標楷體" w:hAnsi="標楷體" w:cs="超研澤粗黑" w:hint="eastAsia"/>
          <w:color w:val="000000" w:themeColor="text1"/>
          <w:sz w:val="28"/>
          <w:szCs w:val="28"/>
        </w:rPr>
        <w:t>％、1.</w:t>
      </w:r>
      <w:r w:rsidR="00297AAD" w:rsidRPr="000C2EC0">
        <w:rPr>
          <w:rFonts w:ascii="標楷體" w:eastAsia="標楷體" w:hAnsi="標楷體" w:cs="超研澤粗黑"/>
          <w:color w:val="000000" w:themeColor="text1"/>
          <w:sz w:val="28"/>
          <w:szCs w:val="28"/>
        </w:rPr>
        <w:t>85</w:t>
      </w:r>
      <w:r w:rsidR="00297AAD" w:rsidRPr="000C2EC0">
        <w:rPr>
          <w:rFonts w:ascii="標楷體" w:eastAsia="標楷體" w:hAnsi="標楷體" w:cs="超研澤粗黑" w:hint="eastAsia"/>
          <w:color w:val="000000" w:themeColor="text1"/>
          <w:sz w:val="28"/>
          <w:szCs w:val="28"/>
        </w:rPr>
        <w:t>％；土地增值稅、契稅、印花稅及娛樂稅執行率執行率分別為4</w:t>
      </w:r>
      <w:r w:rsidR="00297AAD" w:rsidRPr="000C2EC0">
        <w:rPr>
          <w:rFonts w:ascii="標楷體" w:eastAsia="標楷體" w:hAnsi="標楷體" w:cs="超研澤粗黑"/>
          <w:color w:val="000000" w:themeColor="text1"/>
          <w:sz w:val="28"/>
          <w:szCs w:val="28"/>
        </w:rPr>
        <w:t>4</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24</w:t>
      </w:r>
      <w:r w:rsidR="00297AAD" w:rsidRPr="000C2EC0">
        <w:rPr>
          <w:rFonts w:ascii="標楷體" w:eastAsia="標楷體" w:hAnsi="標楷體" w:cs="超研澤粗黑" w:hint="eastAsia"/>
          <w:color w:val="000000" w:themeColor="text1"/>
          <w:sz w:val="28"/>
          <w:szCs w:val="28"/>
        </w:rPr>
        <w:t>％、4</w:t>
      </w:r>
      <w:r w:rsidR="00297AAD" w:rsidRPr="000C2EC0">
        <w:rPr>
          <w:rFonts w:ascii="標楷體" w:eastAsia="標楷體" w:hAnsi="標楷體" w:cs="超研澤粗黑"/>
          <w:color w:val="000000" w:themeColor="text1"/>
          <w:sz w:val="28"/>
          <w:szCs w:val="28"/>
        </w:rPr>
        <w:t>6</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99</w:t>
      </w:r>
      <w:r w:rsidR="00297AAD" w:rsidRPr="000C2EC0">
        <w:rPr>
          <w:rFonts w:ascii="標楷體" w:eastAsia="標楷體" w:hAnsi="標楷體" w:cs="超研澤粗黑" w:hint="eastAsia"/>
          <w:color w:val="000000" w:themeColor="text1"/>
          <w:sz w:val="28"/>
          <w:szCs w:val="28"/>
        </w:rPr>
        <w:t>％、4</w:t>
      </w:r>
      <w:r w:rsidR="00297AAD" w:rsidRPr="000C2EC0">
        <w:rPr>
          <w:rFonts w:ascii="標楷體" w:eastAsia="標楷體" w:hAnsi="標楷體" w:cs="超研澤粗黑"/>
          <w:color w:val="000000" w:themeColor="text1"/>
          <w:sz w:val="28"/>
          <w:szCs w:val="28"/>
        </w:rPr>
        <w:t>8</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30</w:t>
      </w:r>
      <w:r w:rsidR="00297AAD" w:rsidRPr="000C2EC0">
        <w:rPr>
          <w:rFonts w:ascii="標楷體" w:eastAsia="標楷體" w:hAnsi="標楷體" w:cs="超研澤粗黑" w:hint="eastAsia"/>
          <w:color w:val="000000" w:themeColor="text1"/>
          <w:sz w:val="28"/>
          <w:szCs w:val="28"/>
        </w:rPr>
        <w:t>％、4</w:t>
      </w:r>
      <w:r w:rsidR="00297AAD" w:rsidRPr="000C2EC0">
        <w:rPr>
          <w:rFonts w:ascii="標楷體" w:eastAsia="標楷體" w:hAnsi="標楷體" w:cs="超研澤粗黑"/>
          <w:color w:val="000000" w:themeColor="text1"/>
          <w:sz w:val="28"/>
          <w:szCs w:val="28"/>
        </w:rPr>
        <w:t>2</w:t>
      </w:r>
      <w:r w:rsidR="00297AAD" w:rsidRPr="000C2EC0">
        <w:rPr>
          <w:rFonts w:ascii="標楷體" w:eastAsia="標楷體" w:hAnsi="標楷體" w:cs="超研澤粗黑" w:hint="eastAsia"/>
          <w:color w:val="000000" w:themeColor="text1"/>
          <w:sz w:val="28"/>
          <w:szCs w:val="28"/>
        </w:rPr>
        <w:t>.5</w:t>
      </w:r>
      <w:r w:rsidR="00297AAD" w:rsidRPr="000C2EC0">
        <w:rPr>
          <w:rFonts w:ascii="標楷體" w:eastAsia="標楷體" w:hAnsi="標楷體" w:cs="超研澤粗黑"/>
          <w:color w:val="000000" w:themeColor="text1"/>
          <w:sz w:val="28"/>
          <w:szCs w:val="28"/>
        </w:rPr>
        <w:t>6</w:t>
      </w:r>
      <w:r w:rsidR="00297AAD" w:rsidRPr="000C2EC0">
        <w:rPr>
          <w:rFonts w:ascii="標楷體" w:eastAsia="標楷體" w:hAnsi="標楷體" w:cs="超研澤粗黑" w:hint="eastAsia"/>
          <w:color w:val="000000" w:themeColor="text1"/>
          <w:sz w:val="28"/>
          <w:szCs w:val="28"/>
        </w:rPr>
        <w:t>％；國稅之遺產及贈與稅、中央統籌分配稅及菸酒稅執行率分別為5</w:t>
      </w:r>
      <w:r w:rsidR="00297AAD" w:rsidRPr="000C2EC0">
        <w:rPr>
          <w:rFonts w:ascii="標楷體" w:eastAsia="標楷體" w:hAnsi="標楷體" w:cs="超研澤粗黑"/>
          <w:color w:val="000000" w:themeColor="text1"/>
          <w:sz w:val="28"/>
          <w:szCs w:val="28"/>
        </w:rPr>
        <w:t>2</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08</w:t>
      </w:r>
      <w:r w:rsidR="00297AAD" w:rsidRPr="000C2EC0">
        <w:rPr>
          <w:rFonts w:ascii="標楷體" w:eastAsia="標楷體" w:hAnsi="標楷體" w:cs="超研澤粗黑" w:hint="eastAsia"/>
          <w:color w:val="000000" w:themeColor="text1"/>
          <w:sz w:val="28"/>
          <w:szCs w:val="28"/>
        </w:rPr>
        <w:t>％、4</w:t>
      </w:r>
      <w:r w:rsidR="00297AAD" w:rsidRPr="000C2EC0">
        <w:rPr>
          <w:rFonts w:ascii="標楷體" w:eastAsia="標楷體" w:hAnsi="標楷體" w:cs="超研澤粗黑"/>
          <w:color w:val="000000" w:themeColor="text1"/>
          <w:sz w:val="28"/>
          <w:szCs w:val="28"/>
        </w:rPr>
        <w:t>4</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26</w:t>
      </w:r>
      <w:r w:rsidR="00297AAD" w:rsidRPr="000C2EC0">
        <w:rPr>
          <w:rFonts w:ascii="標楷體" w:eastAsia="標楷體" w:hAnsi="標楷體" w:cs="超研澤粗黑" w:hint="eastAsia"/>
          <w:color w:val="000000" w:themeColor="text1"/>
          <w:sz w:val="28"/>
          <w:szCs w:val="28"/>
        </w:rPr>
        <w:t>％及3</w:t>
      </w:r>
      <w:r w:rsidR="00297AAD" w:rsidRPr="000C2EC0">
        <w:rPr>
          <w:rFonts w:ascii="標楷體" w:eastAsia="標楷體" w:hAnsi="標楷體" w:cs="超研澤粗黑"/>
          <w:color w:val="000000" w:themeColor="text1"/>
          <w:sz w:val="28"/>
          <w:szCs w:val="28"/>
        </w:rPr>
        <w:t>3</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83</w:t>
      </w:r>
      <w:r w:rsidR="00297AAD" w:rsidRPr="000C2EC0">
        <w:rPr>
          <w:rFonts w:ascii="標楷體" w:eastAsia="標楷體" w:hAnsi="標楷體" w:cs="超研澤粗黑" w:hint="eastAsia"/>
          <w:color w:val="000000" w:themeColor="text1"/>
          <w:sz w:val="28"/>
          <w:szCs w:val="28"/>
        </w:rPr>
        <w:t>％。</w:t>
      </w:r>
    </w:p>
    <w:p w:rsidR="00297AAD" w:rsidRPr="000C2EC0" w:rsidRDefault="00297AAD"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lastRenderedPageBreak/>
        <w:t>2.非稅課收入</w:t>
      </w:r>
    </w:p>
    <w:p w:rsidR="00297AAD" w:rsidRPr="000C2EC0" w:rsidRDefault="0099447F"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Pr>
          <w:rFonts w:ascii="標楷體" w:eastAsia="標楷體" w:hAnsi="標楷體" w:cs="超研澤粗黑" w:hint="eastAsia"/>
          <w:color w:val="000000" w:themeColor="text1"/>
          <w:sz w:val="28"/>
          <w:szCs w:val="28"/>
        </w:rPr>
        <w:t xml:space="preserve">  </w:t>
      </w:r>
      <w:r w:rsidR="00297AAD" w:rsidRPr="000C2EC0">
        <w:rPr>
          <w:rFonts w:ascii="標楷體" w:eastAsia="標楷體" w:hAnsi="標楷體" w:cs="超研澤粗黑" w:hint="eastAsia"/>
          <w:color w:val="000000" w:themeColor="text1"/>
          <w:sz w:val="28"/>
          <w:szCs w:val="28"/>
        </w:rPr>
        <w:t>預算數</w:t>
      </w:r>
      <w:r w:rsidR="00297AAD" w:rsidRPr="000C2EC0">
        <w:rPr>
          <w:rFonts w:ascii="標楷體" w:eastAsia="標楷體" w:hAnsi="標楷體" w:cs="超研澤粗黑"/>
          <w:color w:val="000000" w:themeColor="text1"/>
          <w:sz w:val="28"/>
          <w:szCs w:val="28"/>
        </w:rPr>
        <w:t>206.53</w:t>
      </w:r>
      <w:r w:rsidR="00297AAD" w:rsidRPr="000C2EC0">
        <w:rPr>
          <w:rFonts w:ascii="標楷體" w:eastAsia="標楷體" w:hAnsi="標楷體" w:cs="超研澤粗黑" w:hint="eastAsia"/>
          <w:color w:val="000000" w:themeColor="text1"/>
          <w:sz w:val="28"/>
          <w:szCs w:val="28"/>
        </w:rPr>
        <w:t>億元，實收數5</w:t>
      </w:r>
      <w:r w:rsidR="00297AAD" w:rsidRPr="000C2EC0">
        <w:rPr>
          <w:rFonts w:ascii="標楷體" w:eastAsia="標楷體" w:hAnsi="標楷體" w:cs="超研澤粗黑"/>
          <w:color w:val="000000" w:themeColor="text1"/>
          <w:sz w:val="28"/>
          <w:szCs w:val="28"/>
        </w:rPr>
        <w:t>9</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97</w:t>
      </w:r>
      <w:r w:rsidR="00297AAD" w:rsidRPr="000C2EC0">
        <w:rPr>
          <w:rFonts w:ascii="標楷體" w:eastAsia="標楷體" w:hAnsi="標楷體" w:cs="超研澤粗黑" w:hint="eastAsia"/>
          <w:color w:val="000000" w:themeColor="text1"/>
          <w:sz w:val="28"/>
          <w:szCs w:val="28"/>
        </w:rPr>
        <w:t>億元，預算執行率為</w:t>
      </w:r>
      <w:r w:rsidR="00297AAD" w:rsidRPr="000C2EC0">
        <w:rPr>
          <w:rFonts w:ascii="標楷體" w:eastAsia="標楷體" w:hAnsi="標楷體" w:cs="超研澤粗黑"/>
          <w:color w:val="000000" w:themeColor="text1"/>
          <w:sz w:val="28"/>
          <w:szCs w:val="28"/>
        </w:rPr>
        <w:t>29</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04</w:t>
      </w:r>
      <w:r w:rsidR="00297AAD" w:rsidRPr="000C2EC0">
        <w:rPr>
          <w:rFonts w:ascii="標楷體" w:eastAsia="標楷體" w:hAnsi="標楷體" w:cs="超研澤粗黑" w:hint="eastAsia"/>
          <w:color w:val="000000" w:themeColor="text1"/>
          <w:sz w:val="28"/>
          <w:szCs w:val="28"/>
        </w:rPr>
        <w:t>％，</w:t>
      </w:r>
      <w:bookmarkStart w:id="0" w:name="_Hlk44592165"/>
      <w:r w:rsidR="00BE7585" w:rsidRPr="000C2EC0">
        <w:rPr>
          <w:rFonts w:ascii="標楷體" w:eastAsia="標楷體" w:hAnsi="標楷體" w:cs="超研澤粗黑" w:hint="eastAsia"/>
          <w:color w:val="000000" w:themeColor="text1"/>
          <w:sz w:val="28"/>
          <w:szCs w:val="28"/>
        </w:rPr>
        <w:t xml:space="preserve"> </w:t>
      </w:r>
      <w:r w:rsidR="00297AAD" w:rsidRPr="000C2EC0">
        <w:rPr>
          <w:rFonts w:ascii="標楷體" w:eastAsia="標楷體" w:hAnsi="標楷體" w:cs="超研澤粗黑" w:hint="eastAsia"/>
          <w:color w:val="000000" w:themeColor="text1"/>
          <w:sz w:val="28"/>
          <w:szCs w:val="28"/>
        </w:rPr>
        <w:t>較去年同期減少</w:t>
      </w:r>
      <w:r w:rsidR="00297AAD" w:rsidRPr="000C2EC0">
        <w:rPr>
          <w:rFonts w:ascii="標楷體" w:eastAsia="標楷體" w:hAnsi="標楷體" w:cs="超研澤粗黑"/>
          <w:color w:val="000000" w:themeColor="text1"/>
          <w:sz w:val="28"/>
          <w:szCs w:val="28"/>
        </w:rPr>
        <w:t>6</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23</w:t>
      </w:r>
      <w:r w:rsidR="00297AAD" w:rsidRPr="000C2EC0">
        <w:rPr>
          <w:rFonts w:ascii="標楷體" w:eastAsia="標楷體" w:hAnsi="標楷體" w:cs="超研澤粗黑" w:hint="eastAsia"/>
          <w:color w:val="000000" w:themeColor="text1"/>
          <w:sz w:val="28"/>
          <w:szCs w:val="28"/>
        </w:rPr>
        <w:t>％，罰款及賠償收入</w:t>
      </w:r>
      <w:bookmarkEnd w:id="0"/>
      <w:r w:rsidR="00297AAD" w:rsidRPr="000C2EC0">
        <w:rPr>
          <w:rFonts w:ascii="標楷體" w:eastAsia="標楷體" w:hAnsi="標楷體" w:cs="超研澤粗黑" w:hint="eastAsia"/>
          <w:color w:val="000000" w:themeColor="text1"/>
          <w:sz w:val="28"/>
          <w:szCs w:val="28"/>
        </w:rPr>
        <w:t>、規費收入、財產收入、捐獻及贈與收入及其他收入執行率分別為5</w:t>
      </w:r>
      <w:r w:rsidR="00297AAD" w:rsidRPr="000C2EC0">
        <w:rPr>
          <w:rFonts w:ascii="標楷體" w:eastAsia="標楷體" w:hAnsi="標楷體" w:cs="超研澤粗黑"/>
          <w:color w:val="000000" w:themeColor="text1"/>
          <w:sz w:val="28"/>
          <w:szCs w:val="28"/>
        </w:rPr>
        <w:t>3</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64</w:t>
      </w:r>
      <w:r w:rsidR="00297AAD" w:rsidRPr="000C2EC0">
        <w:rPr>
          <w:rFonts w:ascii="標楷體" w:eastAsia="標楷體" w:hAnsi="標楷體" w:cs="超研澤粗黑" w:hint="eastAsia"/>
          <w:color w:val="000000" w:themeColor="text1"/>
          <w:sz w:val="28"/>
          <w:szCs w:val="28"/>
        </w:rPr>
        <w:t>％、3</w:t>
      </w:r>
      <w:r w:rsidR="00297AAD" w:rsidRPr="000C2EC0">
        <w:rPr>
          <w:rFonts w:ascii="標楷體" w:eastAsia="標楷體" w:hAnsi="標楷體" w:cs="超研澤粗黑"/>
          <w:color w:val="000000" w:themeColor="text1"/>
          <w:sz w:val="28"/>
          <w:szCs w:val="28"/>
        </w:rPr>
        <w:t>2</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68</w:t>
      </w:r>
      <w:r w:rsidR="00297AAD" w:rsidRPr="000C2EC0">
        <w:rPr>
          <w:rFonts w:ascii="標楷體" w:eastAsia="標楷體" w:hAnsi="標楷體" w:cs="超研澤粗黑" w:hint="eastAsia"/>
          <w:color w:val="000000" w:themeColor="text1"/>
          <w:sz w:val="28"/>
          <w:szCs w:val="28"/>
        </w:rPr>
        <w:t>％、4</w:t>
      </w:r>
      <w:r w:rsidR="00297AAD" w:rsidRPr="000C2EC0">
        <w:rPr>
          <w:rFonts w:ascii="標楷體" w:eastAsia="標楷體" w:hAnsi="標楷體" w:cs="超研澤粗黑"/>
          <w:color w:val="000000" w:themeColor="text1"/>
          <w:sz w:val="28"/>
          <w:szCs w:val="28"/>
        </w:rPr>
        <w:t>7</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13</w:t>
      </w:r>
      <w:r w:rsidR="00297AAD" w:rsidRPr="000C2EC0">
        <w:rPr>
          <w:rFonts w:ascii="標楷體" w:eastAsia="標楷體" w:hAnsi="標楷體" w:cs="超研澤粗黑" w:hint="eastAsia"/>
          <w:color w:val="000000" w:themeColor="text1"/>
          <w:sz w:val="28"/>
          <w:szCs w:val="28"/>
        </w:rPr>
        <w:t>％、1</w:t>
      </w:r>
      <w:r w:rsidR="00297AAD" w:rsidRPr="000C2EC0">
        <w:rPr>
          <w:rFonts w:ascii="標楷體" w:eastAsia="標楷體" w:hAnsi="標楷體" w:cs="超研澤粗黑"/>
          <w:color w:val="000000" w:themeColor="text1"/>
          <w:sz w:val="28"/>
          <w:szCs w:val="28"/>
        </w:rPr>
        <w:t>5</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88</w:t>
      </w:r>
      <w:r w:rsidR="00297AAD" w:rsidRPr="000C2EC0">
        <w:rPr>
          <w:rFonts w:ascii="標楷體" w:eastAsia="標楷體" w:hAnsi="標楷體" w:cs="超研澤粗黑" w:hint="eastAsia"/>
          <w:color w:val="000000" w:themeColor="text1"/>
          <w:sz w:val="28"/>
          <w:szCs w:val="28"/>
        </w:rPr>
        <w:t>％及3</w:t>
      </w:r>
      <w:r w:rsidR="00297AAD" w:rsidRPr="000C2EC0">
        <w:rPr>
          <w:rFonts w:ascii="標楷體" w:eastAsia="標楷體" w:hAnsi="標楷體" w:cs="超研澤粗黑"/>
          <w:color w:val="000000" w:themeColor="text1"/>
          <w:sz w:val="28"/>
          <w:szCs w:val="28"/>
        </w:rPr>
        <w:t>5</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70</w:t>
      </w:r>
      <w:r w:rsidR="00297AAD" w:rsidRPr="000C2EC0">
        <w:rPr>
          <w:rFonts w:ascii="標楷體" w:eastAsia="標楷體" w:hAnsi="標楷體" w:cs="超研澤粗黑" w:hint="eastAsia"/>
          <w:color w:val="000000" w:themeColor="text1"/>
          <w:sz w:val="28"/>
          <w:szCs w:val="28"/>
        </w:rPr>
        <w:t>％，另營業盈餘及事業收入將於下半年解繳市庫。</w:t>
      </w:r>
    </w:p>
    <w:p w:rsidR="00297AAD" w:rsidRPr="000C2EC0" w:rsidRDefault="00297AAD"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3.補助收入</w:t>
      </w:r>
    </w:p>
    <w:p w:rsidR="00297AAD" w:rsidRPr="000C2EC0" w:rsidRDefault="0099447F"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Pr>
          <w:rFonts w:ascii="標楷體" w:eastAsia="標楷體" w:hAnsi="標楷體" w:cs="超研澤粗黑" w:hint="eastAsia"/>
          <w:color w:val="000000" w:themeColor="text1"/>
          <w:sz w:val="28"/>
          <w:szCs w:val="28"/>
        </w:rPr>
        <w:t xml:space="preserve">  </w:t>
      </w:r>
      <w:r w:rsidR="00297AAD" w:rsidRPr="000C2EC0">
        <w:rPr>
          <w:rFonts w:ascii="標楷體" w:eastAsia="標楷體" w:hAnsi="標楷體" w:cs="超研澤粗黑" w:hint="eastAsia"/>
          <w:color w:val="000000" w:themeColor="text1"/>
          <w:sz w:val="28"/>
          <w:szCs w:val="28"/>
        </w:rPr>
        <w:t>預算數</w:t>
      </w:r>
      <w:r w:rsidR="00297AAD" w:rsidRPr="000C2EC0">
        <w:rPr>
          <w:rFonts w:ascii="標楷體" w:eastAsia="標楷體" w:hAnsi="標楷體" w:cs="超研澤粗黑"/>
          <w:color w:val="000000" w:themeColor="text1"/>
          <w:sz w:val="28"/>
          <w:szCs w:val="28"/>
        </w:rPr>
        <w:t>416.74</w:t>
      </w:r>
      <w:r w:rsidR="00297AAD" w:rsidRPr="000C2EC0">
        <w:rPr>
          <w:rFonts w:ascii="標楷體" w:eastAsia="標楷體" w:hAnsi="標楷體" w:cs="超研澤粗黑" w:hint="eastAsia"/>
          <w:color w:val="000000" w:themeColor="text1"/>
          <w:sz w:val="28"/>
          <w:szCs w:val="28"/>
        </w:rPr>
        <w:t>億元，實收數</w:t>
      </w:r>
      <w:r w:rsidR="00297AAD" w:rsidRPr="000C2EC0">
        <w:rPr>
          <w:rFonts w:ascii="標楷體" w:eastAsia="標楷體" w:hAnsi="標楷體" w:cs="超研澤粗黑"/>
          <w:color w:val="000000" w:themeColor="text1"/>
          <w:sz w:val="28"/>
          <w:szCs w:val="28"/>
        </w:rPr>
        <w:t>230</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70</w:t>
      </w:r>
      <w:r w:rsidR="00297AAD" w:rsidRPr="000C2EC0">
        <w:rPr>
          <w:rFonts w:ascii="標楷體" w:eastAsia="標楷體" w:hAnsi="標楷體" w:cs="超研澤粗黑" w:hint="eastAsia"/>
          <w:color w:val="000000" w:themeColor="text1"/>
          <w:sz w:val="28"/>
          <w:szCs w:val="28"/>
        </w:rPr>
        <w:t>億元，預算執行率為5</w:t>
      </w:r>
      <w:r w:rsidR="00297AAD" w:rsidRPr="000C2EC0">
        <w:rPr>
          <w:rFonts w:ascii="標楷體" w:eastAsia="標楷體" w:hAnsi="標楷體" w:cs="超研澤粗黑"/>
          <w:color w:val="000000" w:themeColor="text1"/>
          <w:sz w:val="28"/>
          <w:szCs w:val="28"/>
        </w:rPr>
        <w:t>5</w:t>
      </w:r>
      <w:r w:rsidR="00297AAD" w:rsidRPr="000C2EC0">
        <w:rPr>
          <w:rFonts w:ascii="標楷體" w:eastAsia="標楷體" w:hAnsi="標楷體" w:cs="超研澤粗黑" w:hint="eastAsia"/>
          <w:color w:val="000000" w:themeColor="text1"/>
          <w:sz w:val="28"/>
          <w:szCs w:val="28"/>
        </w:rPr>
        <w:t>.</w:t>
      </w:r>
      <w:r w:rsidR="00297AAD" w:rsidRPr="000C2EC0">
        <w:rPr>
          <w:rFonts w:ascii="標楷體" w:eastAsia="標楷體" w:hAnsi="標楷體" w:cs="超研澤粗黑"/>
          <w:color w:val="000000" w:themeColor="text1"/>
          <w:sz w:val="28"/>
          <w:szCs w:val="28"/>
        </w:rPr>
        <w:t>36</w:t>
      </w:r>
      <w:r w:rsidR="00297AAD" w:rsidRPr="000C2EC0">
        <w:rPr>
          <w:rFonts w:ascii="標楷體" w:eastAsia="標楷體" w:hAnsi="標楷體" w:cs="超研澤粗黑" w:hint="eastAsia"/>
          <w:color w:val="000000" w:themeColor="text1"/>
          <w:sz w:val="28"/>
          <w:szCs w:val="28"/>
        </w:rPr>
        <w:t>％，較去年同期增加5.96％。</w:t>
      </w:r>
    </w:p>
    <w:p w:rsidR="00297AAD" w:rsidRPr="000C2EC0" w:rsidRDefault="00297AAD" w:rsidP="00624CEA">
      <w:pPr>
        <w:adjustRightInd w:val="0"/>
        <w:snapToGrid w:val="0"/>
        <w:spacing w:line="460" w:lineRule="exact"/>
        <w:ind w:leftChars="580" w:left="1700" w:hangingChars="110" w:hanging="308"/>
        <w:jc w:val="both"/>
        <w:rPr>
          <w:rFonts w:ascii="標楷體" w:eastAsia="標楷體" w:hAnsi="標楷體" w:cs="超研澤粗黑"/>
          <w:color w:val="000000" w:themeColor="text1"/>
          <w:sz w:val="28"/>
          <w:szCs w:val="28"/>
        </w:rPr>
      </w:pPr>
      <w:r w:rsidRPr="000C2EC0">
        <w:rPr>
          <w:rFonts w:ascii="標楷體" w:eastAsia="標楷體" w:hAnsi="標楷體" w:cs="超研澤粗黑"/>
          <w:color w:val="000000" w:themeColor="text1"/>
          <w:sz w:val="28"/>
          <w:szCs w:val="28"/>
        </w:rPr>
        <w:t>4.本年度</w:t>
      </w:r>
      <w:r w:rsidRPr="000C2EC0">
        <w:rPr>
          <w:rFonts w:ascii="標楷體" w:eastAsia="標楷體" w:hAnsi="標楷體" w:cs="超研澤粗黑" w:hint="eastAsia"/>
          <w:color w:val="000000" w:themeColor="text1"/>
          <w:sz w:val="28"/>
          <w:szCs w:val="28"/>
        </w:rPr>
        <w:t>因新冠肺炎疫情蔓延，將影響本市相關收入，經本府各機關初估，截至5月底預估本市配合防疫紓困措施減徵之各項主要收入合計至少約1億6</w:t>
      </w:r>
      <w:r w:rsidRPr="000C2EC0">
        <w:rPr>
          <w:rFonts w:ascii="標楷體" w:eastAsia="標楷體" w:hAnsi="標楷體" w:cs="超研澤粗黑"/>
          <w:color w:val="000000" w:themeColor="text1"/>
          <w:sz w:val="28"/>
          <w:szCs w:val="28"/>
        </w:rPr>
        <w:t>,971</w:t>
      </w:r>
      <w:r w:rsidRPr="000C2EC0">
        <w:rPr>
          <w:rFonts w:ascii="標楷體" w:eastAsia="標楷體" w:hAnsi="標楷體" w:cs="超研澤粗黑" w:hint="eastAsia"/>
          <w:color w:val="000000" w:themeColor="text1"/>
          <w:sz w:val="28"/>
          <w:szCs w:val="28"/>
        </w:rPr>
        <w:t>萬元，包含房屋稅1</w:t>
      </w:r>
      <w:r w:rsidRPr="000C2EC0">
        <w:rPr>
          <w:rFonts w:ascii="標楷體" w:eastAsia="標楷體" w:hAnsi="標楷體" w:cs="超研澤粗黑"/>
          <w:color w:val="000000" w:themeColor="text1"/>
          <w:sz w:val="28"/>
          <w:szCs w:val="28"/>
        </w:rPr>
        <w:t>,446</w:t>
      </w:r>
      <w:r w:rsidRPr="000C2EC0">
        <w:rPr>
          <w:rFonts w:ascii="標楷體" w:eastAsia="標楷體" w:hAnsi="標楷體" w:cs="超研澤粗黑" w:hint="eastAsia"/>
          <w:color w:val="000000" w:themeColor="text1"/>
          <w:sz w:val="28"/>
          <w:szCs w:val="28"/>
        </w:rPr>
        <w:t>萬元、使用牌照稅5</w:t>
      </w:r>
      <w:r w:rsidRPr="000C2EC0">
        <w:rPr>
          <w:rFonts w:ascii="標楷體" w:eastAsia="標楷體" w:hAnsi="標楷體" w:cs="超研澤粗黑"/>
          <w:color w:val="000000" w:themeColor="text1"/>
          <w:sz w:val="28"/>
          <w:szCs w:val="28"/>
        </w:rPr>
        <w:t>,452</w:t>
      </w:r>
      <w:r w:rsidRPr="000C2EC0">
        <w:rPr>
          <w:rFonts w:ascii="標楷體" w:eastAsia="標楷體" w:hAnsi="標楷體" w:cs="超研澤粗黑" w:hint="eastAsia"/>
          <w:color w:val="000000" w:themeColor="text1"/>
          <w:sz w:val="28"/>
          <w:szCs w:val="28"/>
        </w:rPr>
        <w:t>萬元、娛樂稅1千萬元、租金收入2</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391萬1千元、權利金1</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124萬9千元、場地設施使用費880萬元及交通局作業基金賸餘繳庫4</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677萬元。此外，各場館閉館及活動停辦或緩辦，對本年度收入也會有影響。另依近日財政部新聞稿，初步統計截至6月底所得稅淨收稅額較上年度減少約868億元，此部分亦會影響本市獲配之普通統籌分配稅款。後續本府將持續追蹤，若短收情形嚴重，必要時提出因應措施。</w:t>
      </w:r>
    </w:p>
    <w:p w:rsidR="00F76C62" w:rsidRPr="000C2EC0" w:rsidRDefault="00F76C62" w:rsidP="009306ED">
      <w:pPr>
        <w:pStyle w:val="affffffff8"/>
        <w:spacing w:line="440" w:lineRule="exact"/>
        <w:ind w:leftChars="177" w:left="1131" w:hangingChars="252" w:hanging="706"/>
        <w:jc w:val="both"/>
        <w:rPr>
          <w:b w:val="0"/>
          <w:color w:val="000000" w:themeColor="text1"/>
        </w:rPr>
      </w:pPr>
      <w:r w:rsidRPr="000C2EC0">
        <w:rPr>
          <w:rFonts w:hint="eastAsia"/>
          <w:b w:val="0"/>
          <w:color w:val="000000" w:themeColor="text1"/>
        </w:rPr>
        <w:t>（二）截至109年</w:t>
      </w:r>
      <w:r w:rsidRPr="000C2EC0">
        <w:rPr>
          <w:b w:val="0"/>
          <w:color w:val="000000" w:themeColor="text1"/>
        </w:rPr>
        <w:t>6</w:t>
      </w:r>
      <w:r w:rsidRPr="000C2EC0">
        <w:rPr>
          <w:rFonts w:hint="eastAsia"/>
          <w:b w:val="0"/>
          <w:color w:val="000000" w:themeColor="text1"/>
        </w:rPr>
        <w:t>月底止高雄市各種債務</w:t>
      </w:r>
    </w:p>
    <w:p w:rsidR="00F76C62" w:rsidRPr="000C2EC0" w:rsidRDefault="00F76C62" w:rsidP="00624CEA">
      <w:pPr>
        <w:adjustRightInd w:val="0"/>
        <w:snapToGrid w:val="0"/>
        <w:spacing w:line="460" w:lineRule="exact"/>
        <w:ind w:leftChars="531" w:left="1554"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color w:val="000000" w:themeColor="text1"/>
          <w:sz w:val="28"/>
          <w:szCs w:val="28"/>
        </w:rPr>
        <w:t>1</w:t>
      </w:r>
      <w:r w:rsidRPr="000C2EC0">
        <w:rPr>
          <w:rFonts w:ascii="標楷體" w:eastAsia="標楷體" w:hAnsi="標楷體" w:cs="超研澤粗黑" w:hint="eastAsia"/>
          <w:color w:val="000000" w:themeColor="text1"/>
          <w:sz w:val="28"/>
          <w:szCs w:val="28"/>
        </w:rPr>
        <w:t>. 依「公共債務法」規範每月公告之債務：</w:t>
      </w:r>
    </w:p>
    <w:p w:rsidR="00F76C62" w:rsidRPr="000C2EC0" w:rsidRDefault="00F76C62" w:rsidP="00F76C62">
      <w:pPr>
        <w:widowControl/>
        <w:tabs>
          <w:tab w:val="num" w:pos="3360"/>
        </w:tabs>
        <w:snapToGrid w:val="0"/>
        <w:spacing w:line="460" w:lineRule="exact"/>
        <w:ind w:leftChars="468" w:left="1123" w:firstLineChars="3200" w:firstLine="6784"/>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hint="eastAsia"/>
          <w:color w:val="000000" w:themeColor="text1"/>
          <w:spacing w:val="-4"/>
          <w:kern w:val="0"/>
          <w:sz w:val="22"/>
          <w:szCs w:val="28"/>
        </w:rPr>
        <w:t>單位:億元</w:t>
      </w:r>
    </w:p>
    <w:tbl>
      <w:tblPr>
        <w:tblW w:w="7877" w:type="dxa"/>
        <w:jc w:val="right"/>
        <w:tblCellMar>
          <w:left w:w="28" w:type="dxa"/>
          <w:right w:w="28" w:type="dxa"/>
        </w:tblCellMar>
        <w:tblLook w:val="04A0" w:firstRow="1" w:lastRow="0" w:firstColumn="1" w:lastColumn="0" w:noHBand="0" w:noVBand="1"/>
      </w:tblPr>
      <w:tblGrid>
        <w:gridCol w:w="1857"/>
        <w:gridCol w:w="3380"/>
        <w:gridCol w:w="1449"/>
        <w:gridCol w:w="1191"/>
      </w:tblGrid>
      <w:tr w:rsidR="000C2EC0" w:rsidRPr="000C2EC0" w:rsidTr="00E25612">
        <w:trPr>
          <w:trHeight w:val="593"/>
          <w:jc w:val="right"/>
        </w:trPr>
        <w:tc>
          <w:tcPr>
            <w:tcW w:w="185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債務類別</w:t>
            </w:r>
          </w:p>
        </w:tc>
        <w:tc>
          <w:tcPr>
            <w:tcW w:w="3380" w:type="dxa"/>
            <w:tcBorders>
              <w:top w:val="single" w:sz="8" w:space="0" w:color="auto"/>
              <w:left w:val="nil"/>
              <w:bottom w:val="single" w:sz="8" w:space="0" w:color="auto"/>
              <w:right w:val="nil"/>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名稱</w:t>
            </w:r>
          </w:p>
        </w:tc>
        <w:tc>
          <w:tcPr>
            <w:tcW w:w="14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金額</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合計</w:t>
            </w:r>
          </w:p>
        </w:tc>
      </w:tr>
      <w:tr w:rsidR="000C2EC0" w:rsidRPr="000C2EC0" w:rsidTr="00E25612">
        <w:trPr>
          <w:trHeight w:val="285"/>
          <w:jc w:val="right"/>
        </w:trPr>
        <w:tc>
          <w:tcPr>
            <w:tcW w:w="1857" w:type="dxa"/>
            <w:vMerge w:val="restart"/>
            <w:tcBorders>
              <w:top w:val="nil"/>
              <w:left w:val="single" w:sz="8" w:space="0" w:color="auto"/>
              <w:bottom w:val="single" w:sz="4" w:space="0" w:color="000000"/>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1年以上</w:t>
            </w:r>
          </w:p>
          <w:p w:rsidR="00F76C62" w:rsidRPr="000C2EC0" w:rsidRDefault="00F76C62" w:rsidP="00E25612">
            <w:pPr>
              <w:widowControl/>
              <w:spacing w:line="28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非自償債務</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總預算借款及公債</w:t>
            </w:r>
          </w:p>
        </w:tc>
        <w:tc>
          <w:tcPr>
            <w:tcW w:w="1449" w:type="dxa"/>
            <w:tcBorders>
              <w:top w:val="nil"/>
              <w:left w:val="single" w:sz="8" w:space="0" w:color="auto"/>
              <w:bottom w:val="single" w:sz="4" w:space="0" w:color="auto"/>
              <w:right w:val="single" w:sz="8"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 xml:space="preserve">     2,2</w:t>
            </w:r>
            <w:r w:rsidRPr="000C2EC0">
              <w:rPr>
                <w:rFonts w:ascii="標楷體" w:eastAsia="標楷體" w:hAnsi="標楷體" w:cs="Times New Roman"/>
                <w:color w:val="000000" w:themeColor="text1"/>
                <w:kern w:val="0"/>
                <w:sz w:val="28"/>
                <w:szCs w:val="24"/>
              </w:rPr>
              <w:t>68</w:t>
            </w:r>
            <w:r w:rsidRPr="000C2EC0">
              <w:rPr>
                <w:rFonts w:ascii="標楷體" w:eastAsia="標楷體" w:hAnsi="標楷體" w:cs="Times New Roman" w:hint="eastAsia"/>
                <w:color w:val="000000" w:themeColor="text1"/>
                <w:kern w:val="0"/>
                <w:sz w:val="28"/>
                <w:szCs w:val="24"/>
              </w:rPr>
              <w:t>.</w:t>
            </w:r>
            <w:r w:rsidRPr="000C2EC0">
              <w:rPr>
                <w:rFonts w:ascii="標楷體" w:eastAsia="標楷體" w:hAnsi="標楷體" w:cs="Times New Roman"/>
                <w:color w:val="000000" w:themeColor="text1"/>
                <w:kern w:val="0"/>
                <w:sz w:val="28"/>
                <w:szCs w:val="24"/>
              </w:rPr>
              <w:t>44</w:t>
            </w:r>
            <w:r w:rsidRPr="000C2EC0">
              <w:rPr>
                <w:rFonts w:ascii="標楷體" w:eastAsia="標楷體" w:hAnsi="標楷體" w:cs="Times New Roman" w:hint="eastAsia"/>
                <w:color w:val="000000" w:themeColor="text1"/>
                <w:kern w:val="0"/>
                <w:sz w:val="28"/>
                <w:szCs w:val="24"/>
              </w:rPr>
              <w:t xml:space="preserve"> </w:t>
            </w:r>
          </w:p>
        </w:tc>
        <w:tc>
          <w:tcPr>
            <w:tcW w:w="1191"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 xml:space="preserve">     2,4</w:t>
            </w:r>
            <w:r w:rsidRPr="000C2EC0">
              <w:rPr>
                <w:rFonts w:ascii="標楷體" w:eastAsia="標楷體" w:hAnsi="標楷體" w:cs="Times New Roman"/>
                <w:color w:val="000000" w:themeColor="text1"/>
                <w:kern w:val="0"/>
                <w:sz w:val="28"/>
                <w:szCs w:val="24"/>
              </w:rPr>
              <w:t>28</w:t>
            </w:r>
            <w:r w:rsidRPr="000C2EC0">
              <w:rPr>
                <w:rFonts w:ascii="標楷體" w:eastAsia="標楷體" w:hAnsi="標楷體" w:cs="Times New Roman" w:hint="eastAsia"/>
                <w:color w:val="000000" w:themeColor="text1"/>
                <w:kern w:val="0"/>
                <w:sz w:val="28"/>
                <w:szCs w:val="24"/>
              </w:rPr>
              <w:t>.</w:t>
            </w:r>
            <w:r w:rsidRPr="000C2EC0">
              <w:rPr>
                <w:rFonts w:ascii="標楷體" w:eastAsia="標楷體" w:hAnsi="標楷體" w:cs="Times New Roman"/>
                <w:color w:val="000000" w:themeColor="text1"/>
                <w:kern w:val="0"/>
                <w:sz w:val="28"/>
                <w:szCs w:val="24"/>
              </w:rPr>
              <w:t>91</w:t>
            </w:r>
            <w:r w:rsidRPr="000C2EC0">
              <w:rPr>
                <w:rFonts w:ascii="標楷體" w:eastAsia="標楷體" w:hAnsi="標楷體" w:cs="Times New Roman" w:hint="eastAsia"/>
                <w:color w:val="000000" w:themeColor="text1"/>
                <w:kern w:val="0"/>
                <w:sz w:val="28"/>
                <w:szCs w:val="24"/>
              </w:rPr>
              <w:t xml:space="preserve"> </w:t>
            </w:r>
          </w:p>
        </w:tc>
      </w:tr>
      <w:tr w:rsidR="000C2EC0" w:rsidRPr="000C2EC0" w:rsidTr="00E25612">
        <w:trPr>
          <w:trHeight w:val="59"/>
          <w:jc w:val="right"/>
        </w:trPr>
        <w:tc>
          <w:tcPr>
            <w:tcW w:w="1857" w:type="dxa"/>
            <w:vMerge/>
            <w:tcBorders>
              <w:top w:val="nil"/>
              <w:left w:val="single" w:sz="8" w:space="0" w:color="auto"/>
              <w:bottom w:val="single" w:sz="4"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捷運局捷運建設基金借款</w:t>
            </w:r>
          </w:p>
        </w:tc>
        <w:tc>
          <w:tcPr>
            <w:tcW w:w="1449" w:type="dxa"/>
            <w:tcBorders>
              <w:top w:val="nil"/>
              <w:left w:val="single" w:sz="8" w:space="0" w:color="auto"/>
              <w:bottom w:val="single" w:sz="4" w:space="0" w:color="auto"/>
              <w:right w:val="single" w:sz="8"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 xml:space="preserve">       160.</w:t>
            </w:r>
            <w:r w:rsidRPr="000C2EC0">
              <w:rPr>
                <w:rFonts w:ascii="標楷體" w:eastAsia="標楷體" w:hAnsi="標楷體" w:cs="Times New Roman"/>
                <w:color w:val="000000" w:themeColor="text1"/>
                <w:kern w:val="0"/>
                <w:sz w:val="28"/>
                <w:szCs w:val="24"/>
              </w:rPr>
              <w:t>4</w:t>
            </w:r>
            <w:r w:rsidRPr="000C2EC0">
              <w:rPr>
                <w:rFonts w:ascii="標楷體" w:eastAsia="標楷體" w:hAnsi="標楷體" w:cs="Times New Roman" w:hint="eastAsia"/>
                <w:color w:val="000000" w:themeColor="text1"/>
                <w:kern w:val="0"/>
                <w:sz w:val="28"/>
                <w:szCs w:val="24"/>
              </w:rPr>
              <w:t xml:space="preserve">7 </w:t>
            </w:r>
          </w:p>
        </w:tc>
        <w:tc>
          <w:tcPr>
            <w:tcW w:w="1191" w:type="dxa"/>
            <w:vMerge/>
            <w:tcBorders>
              <w:top w:val="nil"/>
              <w:left w:val="single" w:sz="8" w:space="0" w:color="auto"/>
              <w:bottom w:val="single" w:sz="4" w:space="0" w:color="auto"/>
              <w:right w:val="single" w:sz="8" w:space="0" w:color="auto"/>
            </w:tcBorders>
            <w:vAlign w:val="center"/>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p>
        </w:tc>
      </w:tr>
      <w:tr w:rsidR="000C2EC0" w:rsidRPr="000C2EC0" w:rsidTr="00E25612">
        <w:trPr>
          <w:trHeight w:val="87"/>
          <w:jc w:val="right"/>
        </w:trPr>
        <w:tc>
          <w:tcPr>
            <w:tcW w:w="1857" w:type="dxa"/>
            <w:tcBorders>
              <w:top w:val="nil"/>
              <w:left w:val="single" w:sz="8" w:space="0" w:color="auto"/>
              <w:bottom w:val="nil"/>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未滿1年債務</w:t>
            </w:r>
          </w:p>
        </w:tc>
        <w:tc>
          <w:tcPr>
            <w:tcW w:w="3380" w:type="dxa"/>
            <w:tcBorders>
              <w:top w:val="single" w:sz="4" w:space="0" w:color="auto"/>
              <w:left w:val="nil"/>
              <w:bottom w:val="nil"/>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市</w:t>
            </w:r>
            <w:r w:rsidRPr="000C2EC0">
              <w:rPr>
                <w:rFonts w:ascii="標楷體" w:eastAsia="標楷體" w:hAnsi="標楷體" w:cs="Times New Roman" w:hint="eastAsia"/>
                <w:color w:val="000000" w:themeColor="text1"/>
                <w:kern w:val="0"/>
                <w:sz w:val="28"/>
                <w:szCs w:val="28"/>
              </w:rPr>
              <w:t>庫短期借款</w:t>
            </w:r>
          </w:p>
        </w:tc>
        <w:tc>
          <w:tcPr>
            <w:tcW w:w="1449" w:type="dxa"/>
            <w:tcBorders>
              <w:top w:val="nil"/>
              <w:left w:val="single" w:sz="8" w:space="0" w:color="auto"/>
              <w:bottom w:val="double" w:sz="6" w:space="0" w:color="auto"/>
              <w:right w:val="single" w:sz="8"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Times New Roman"/>
                <w:bCs/>
                <w:iCs/>
                <w:color w:val="000000" w:themeColor="text1"/>
                <w:kern w:val="0"/>
                <w:sz w:val="28"/>
                <w:szCs w:val="24"/>
              </w:rPr>
            </w:pPr>
            <w:r w:rsidRPr="000C2EC0">
              <w:rPr>
                <w:rFonts w:ascii="標楷體" w:eastAsia="標楷體" w:hAnsi="標楷體" w:cs="Times New Roman" w:hint="eastAsia"/>
                <w:bCs/>
                <w:iCs/>
                <w:color w:val="000000" w:themeColor="text1"/>
                <w:kern w:val="0"/>
                <w:sz w:val="28"/>
                <w:szCs w:val="24"/>
              </w:rPr>
              <w:t xml:space="preserve">      </w:t>
            </w:r>
            <w:r w:rsidRPr="000C2EC0">
              <w:rPr>
                <w:rFonts w:ascii="標楷體" w:eastAsia="標楷體" w:hAnsi="標楷體" w:cs="Times New Roman"/>
                <w:bCs/>
                <w:iCs/>
                <w:color w:val="000000" w:themeColor="text1"/>
                <w:kern w:val="0"/>
                <w:sz w:val="28"/>
                <w:szCs w:val="24"/>
              </w:rPr>
              <w:t>40.06</w:t>
            </w:r>
          </w:p>
        </w:tc>
        <w:tc>
          <w:tcPr>
            <w:tcW w:w="1191" w:type="dxa"/>
            <w:tcBorders>
              <w:top w:val="nil"/>
              <w:left w:val="nil"/>
              <w:bottom w:val="nil"/>
              <w:right w:val="single" w:sz="8" w:space="0" w:color="auto"/>
            </w:tcBorders>
            <w:shd w:val="clear" w:color="auto" w:fill="auto"/>
            <w:noWrap/>
            <w:vAlign w:val="center"/>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 xml:space="preserve">        </w:t>
            </w:r>
            <w:r w:rsidRPr="000C2EC0">
              <w:rPr>
                <w:rFonts w:ascii="標楷體" w:eastAsia="標楷體" w:hAnsi="標楷體" w:cs="Times New Roman"/>
                <w:color w:val="000000" w:themeColor="text1"/>
                <w:kern w:val="0"/>
                <w:sz w:val="28"/>
                <w:szCs w:val="24"/>
              </w:rPr>
              <w:t>40.06</w:t>
            </w:r>
          </w:p>
        </w:tc>
      </w:tr>
      <w:tr w:rsidR="000C2EC0" w:rsidRPr="000C2EC0" w:rsidTr="00E25612">
        <w:trPr>
          <w:trHeight w:val="282"/>
          <w:jc w:val="right"/>
        </w:trPr>
        <w:tc>
          <w:tcPr>
            <w:tcW w:w="6686" w:type="dxa"/>
            <w:gridSpan w:val="3"/>
            <w:tcBorders>
              <w:top w:val="double" w:sz="6" w:space="0" w:color="auto"/>
              <w:left w:val="single" w:sz="8" w:space="0" w:color="auto"/>
              <w:bottom w:val="single" w:sz="8" w:space="0" w:color="auto"/>
              <w:right w:val="nil"/>
            </w:tcBorders>
            <w:shd w:val="clear" w:color="auto" w:fill="auto"/>
            <w:vAlign w:val="center"/>
            <w:hideMark/>
          </w:tcPr>
          <w:p w:rsidR="00F76C62" w:rsidRPr="000C2EC0" w:rsidRDefault="00F76C62" w:rsidP="00E25612">
            <w:pPr>
              <w:widowControl/>
              <w:spacing w:line="240" w:lineRule="atLeast"/>
              <w:jc w:val="both"/>
              <w:rPr>
                <w:rFonts w:ascii="標楷體" w:eastAsia="標楷體" w:hAnsi="標楷體" w:cs="Times New Roman"/>
                <w:bCs/>
                <w:color w:val="000000" w:themeColor="text1"/>
                <w:kern w:val="0"/>
                <w:sz w:val="28"/>
                <w:szCs w:val="24"/>
              </w:rPr>
            </w:pPr>
            <w:r w:rsidRPr="000C2EC0">
              <w:rPr>
                <w:rFonts w:ascii="標楷體" w:eastAsia="標楷體" w:hAnsi="標楷體" w:cs="Times New Roman" w:hint="eastAsia"/>
                <w:bCs/>
                <w:color w:val="000000" w:themeColor="text1"/>
                <w:kern w:val="0"/>
                <w:sz w:val="28"/>
                <w:szCs w:val="24"/>
              </w:rPr>
              <w:t>依「公共債務法」規範每月公告之受限債務合計</w:t>
            </w:r>
          </w:p>
        </w:tc>
        <w:tc>
          <w:tcPr>
            <w:tcW w:w="119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F76C62" w:rsidRPr="000C2EC0" w:rsidRDefault="00F76C62" w:rsidP="00E25612">
            <w:pPr>
              <w:widowControl/>
              <w:spacing w:line="240" w:lineRule="exact"/>
              <w:jc w:val="right"/>
              <w:rPr>
                <w:rFonts w:ascii="標楷體" w:eastAsia="標楷體" w:hAnsi="標楷體" w:cs="Times New Roman"/>
                <w:color w:val="000000" w:themeColor="text1"/>
                <w:kern w:val="0"/>
                <w:sz w:val="28"/>
                <w:szCs w:val="24"/>
              </w:rPr>
            </w:pPr>
            <w:r w:rsidRPr="000C2EC0">
              <w:rPr>
                <w:rFonts w:ascii="標楷體" w:eastAsia="標楷體" w:hAnsi="標楷體" w:cs="Times New Roman" w:hint="eastAsia"/>
                <w:color w:val="000000" w:themeColor="text1"/>
                <w:kern w:val="0"/>
                <w:sz w:val="28"/>
                <w:szCs w:val="24"/>
              </w:rPr>
              <w:t xml:space="preserve">     2,4</w:t>
            </w:r>
            <w:r w:rsidRPr="000C2EC0">
              <w:rPr>
                <w:rFonts w:ascii="標楷體" w:eastAsia="標楷體" w:hAnsi="標楷體" w:cs="Times New Roman"/>
                <w:color w:val="000000" w:themeColor="text1"/>
                <w:kern w:val="0"/>
                <w:sz w:val="28"/>
                <w:szCs w:val="24"/>
              </w:rPr>
              <w:t>6</w:t>
            </w:r>
            <w:r w:rsidRPr="000C2EC0">
              <w:rPr>
                <w:rFonts w:ascii="標楷體" w:eastAsia="標楷體" w:hAnsi="標楷體" w:cs="Times New Roman" w:hint="eastAsia"/>
                <w:color w:val="000000" w:themeColor="text1"/>
                <w:kern w:val="0"/>
                <w:sz w:val="28"/>
                <w:szCs w:val="24"/>
              </w:rPr>
              <w:t xml:space="preserve">8.97 </w:t>
            </w:r>
          </w:p>
        </w:tc>
      </w:tr>
    </w:tbl>
    <w:p w:rsidR="00F76C62" w:rsidRPr="000C2EC0" w:rsidRDefault="00F76C62" w:rsidP="00F76C62">
      <w:pPr>
        <w:widowControl/>
        <w:tabs>
          <w:tab w:val="num" w:pos="3360"/>
        </w:tabs>
        <w:snapToGrid w:val="0"/>
        <w:spacing w:line="460" w:lineRule="exact"/>
        <w:ind w:leftChars="468" w:left="1123" w:firstLineChars="50" w:firstLine="116"/>
        <w:jc w:val="both"/>
        <w:rPr>
          <w:rFonts w:ascii="標楷體" w:eastAsia="標楷體" w:hAnsi="標楷體" w:cs="Times New Roman"/>
          <w:color w:val="000000" w:themeColor="text1"/>
          <w:spacing w:val="-4"/>
          <w:kern w:val="0"/>
          <w:szCs w:val="28"/>
        </w:rPr>
      </w:pPr>
      <w:r w:rsidRPr="000C2EC0">
        <w:rPr>
          <w:rFonts w:ascii="標楷體" w:eastAsia="標楷體" w:hAnsi="標楷體" w:cs="Times New Roman" w:hint="eastAsia"/>
          <w:color w:val="000000" w:themeColor="text1"/>
          <w:spacing w:val="-4"/>
          <w:kern w:val="0"/>
          <w:szCs w:val="28"/>
        </w:rPr>
        <w:t>註:各縣市依財政部規定公告之受限債務。</w:t>
      </w:r>
    </w:p>
    <w:p w:rsidR="00F76C62" w:rsidRPr="000C2EC0" w:rsidRDefault="00F76C62" w:rsidP="00624CEA">
      <w:pPr>
        <w:adjustRightInd w:val="0"/>
        <w:snapToGrid w:val="0"/>
        <w:spacing w:line="460" w:lineRule="exact"/>
        <w:ind w:firstLineChars="455" w:firstLine="1274"/>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lastRenderedPageBreak/>
        <w:t>2. 依財政部規定公告之非營業特種基金「自償性」債務：</w:t>
      </w:r>
    </w:p>
    <w:p w:rsidR="00F76C62" w:rsidRPr="000C2EC0" w:rsidRDefault="00F76C62" w:rsidP="00F76C62">
      <w:pPr>
        <w:widowControl/>
        <w:tabs>
          <w:tab w:val="left" w:pos="7632"/>
        </w:tabs>
        <w:snapToGrid w:val="0"/>
        <w:spacing w:line="460" w:lineRule="exact"/>
        <w:ind w:leftChars="368" w:left="1158" w:hangingChars="101" w:hanging="275"/>
        <w:jc w:val="both"/>
        <w:rPr>
          <w:rFonts w:ascii="標楷體" w:eastAsia="標楷體" w:hAnsi="標楷體" w:cs="Times New Roman"/>
          <w:color w:val="000000" w:themeColor="text1"/>
          <w:spacing w:val="-4"/>
          <w:kern w:val="0"/>
          <w:sz w:val="22"/>
          <w:szCs w:val="28"/>
        </w:rPr>
      </w:pPr>
      <w:r w:rsidRPr="000C2EC0">
        <w:rPr>
          <w:rFonts w:ascii="標楷體" w:eastAsia="標楷體" w:hAnsi="標楷體" w:cs="Times New Roman" w:hint="eastAsia"/>
          <w:color w:val="000000" w:themeColor="text1"/>
          <w:spacing w:val="-4"/>
          <w:kern w:val="0"/>
          <w:sz w:val="28"/>
          <w:szCs w:val="28"/>
        </w:rPr>
        <w:t xml:space="preserve">                                                    </w:t>
      </w:r>
      <w:r w:rsidRPr="000C2EC0">
        <w:rPr>
          <w:rFonts w:ascii="標楷體" w:eastAsia="標楷體" w:hAnsi="標楷體" w:cs="Times New Roman" w:hint="eastAsia"/>
          <w:color w:val="000000" w:themeColor="text1"/>
          <w:spacing w:val="-4"/>
          <w:kern w:val="0"/>
          <w:sz w:val="22"/>
          <w:szCs w:val="28"/>
        </w:rPr>
        <w:t>單位:億元</w:t>
      </w:r>
    </w:p>
    <w:tbl>
      <w:tblPr>
        <w:tblW w:w="7807" w:type="dxa"/>
        <w:tblInd w:w="1304" w:type="dxa"/>
        <w:tblCellMar>
          <w:left w:w="28" w:type="dxa"/>
          <w:right w:w="28" w:type="dxa"/>
        </w:tblCellMar>
        <w:tblLook w:val="04A0" w:firstRow="1" w:lastRow="0" w:firstColumn="1" w:lastColumn="0" w:noHBand="0" w:noVBand="1"/>
      </w:tblPr>
      <w:tblGrid>
        <w:gridCol w:w="1845"/>
        <w:gridCol w:w="3263"/>
        <w:gridCol w:w="1542"/>
        <w:gridCol w:w="1157"/>
      </w:tblGrid>
      <w:tr w:rsidR="000C2EC0" w:rsidRPr="000C2EC0" w:rsidTr="00A661F8">
        <w:trPr>
          <w:trHeight w:val="342"/>
        </w:trPr>
        <w:tc>
          <w:tcPr>
            <w:tcW w:w="18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債務類別</w:t>
            </w:r>
          </w:p>
        </w:tc>
        <w:tc>
          <w:tcPr>
            <w:tcW w:w="3263" w:type="dxa"/>
            <w:tcBorders>
              <w:top w:val="single" w:sz="8" w:space="0" w:color="auto"/>
              <w:left w:val="nil"/>
              <w:bottom w:val="single" w:sz="8" w:space="0" w:color="auto"/>
              <w:right w:val="nil"/>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名稱</w:t>
            </w:r>
          </w:p>
        </w:tc>
        <w:tc>
          <w:tcPr>
            <w:tcW w:w="15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金額</w:t>
            </w:r>
          </w:p>
        </w:tc>
        <w:tc>
          <w:tcPr>
            <w:tcW w:w="1157" w:type="dxa"/>
            <w:tcBorders>
              <w:top w:val="single" w:sz="8" w:space="0" w:color="auto"/>
              <w:left w:val="nil"/>
              <w:bottom w:val="single" w:sz="8" w:space="0" w:color="auto"/>
              <w:right w:val="single" w:sz="8" w:space="0" w:color="auto"/>
            </w:tcBorders>
            <w:shd w:val="clear" w:color="auto" w:fill="auto"/>
            <w:noWrap/>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合計</w:t>
            </w:r>
          </w:p>
        </w:tc>
      </w:tr>
      <w:tr w:rsidR="000C2EC0" w:rsidRPr="000C2EC0" w:rsidTr="00A661F8">
        <w:trPr>
          <w:trHeight w:val="390"/>
        </w:trPr>
        <w:tc>
          <w:tcPr>
            <w:tcW w:w="1845" w:type="dxa"/>
            <w:vMerge w:val="restart"/>
            <w:tcBorders>
              <w:top w:val="nil"/>
              <w:left w:val="single" w:sz="8" w:space="0" w:color="auto"/>
              <w:bottom w:val="single" w:sz="8" w:space="0" w:color="000000"/>
              <w:right w:val="single" w:sz="4" w:space="0" w:color="auto"/>
            </w:tcBorders>
            <w:shd w:val="clear" w:color="auto" w:fill="auto"/>
            <w:vAlign w:val="center"/>
            <w:hideMark/>
          </w:tcPr>
          <w:p w:rsidR="00F76C62" w:rsidRPr="000C2EC0" w:rsidRDefault="00F76C62" w:rsidP="00E25612">
            <w:pPr>
              <w:widowControl/>
              <w:spacing w:line="32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自償性債務</w:t>
            </w:r>
          </w:p>
        </w:tc>
        <w:tc>
          <w:tcPr>
            <w:tcW w:w="3263" w:type="dxa"/>
            <w:tcBorders>
              <w:top w:val="nil"/>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高坪特定區開發計畫</w:t>
            </w:r>
          </w:p>
        </w:tc>
        <w:tc>
          <w:tcPr>
            <w:tcW w:w="1542" w:type="dxa"/>
            <w:tcBorders>
              <w:top w:val="nil"/>
              <w:left w:val="nil"/>
              <w:bottom w:val="single" w:sz="4"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2</w:t>
            </w:r>
            <w:r w:rsidRPr="000C2EC0">
              <w:rPr>
                <w:rFonts w:ascii="標楷體" w:eastAsia="標楷體" w:hAnsi="標楷體" w:cs="新細明體"/>
                <w:color w:val="000000" w:themeColor="text1"/>
                <w:kern w:val="0"/>
                <w:sz w:val="28"/>
                <w:szCs w:val="28"/>
              </w:rPr>
              <w:t>7</w:t>
            </w:r>
            <w:r w:rsidRPr="000C2EC0">
              <w:rPr>
                <w:rFonts w:ascii="標楷體" w:eastAsia="標楷體" w:hAnsi="標楷體" w:cs="新細明體" w:hint="eastAsia"/>
                <w:color w:val="000000" w:themeColor="text1"/>
                <w:kern w:val="0"/>
                <w:sz w:val="28"/>
                <w:szCs w:val="28"/>
              </w:rPr>
              <w:t>.</w:t>
            </w:r>
            <w:r w:rsidRPr="000C2EC0">
              <w:rPr>
                <w:rFonts w:ascii="標楷體" w:eastAsia="標楷體" w:hAnsi="標楷體" w:cs="新細明體"/>
                <w:color w:val="000000" w:themeColor="text1"/>
                <w:kern w:val="0"/>
                <w:sz w:val="28"/>
                <w:szCs w:val="28"/>
              </w:rPr>
              <w:t>97</w:t>
            </w:r>
            <w:r w:rsidRPr="000C2EC0">
              <w:rPr>
                <w:rFonts w:ascii="標楷體" w:eastAsia="標楷體" w:hAnsi="標楷體" w:cs="新細明體" w:hint="eastAsia"/>
                <w:color w:val="000000" w:themeColor="text1"/>
                <w:kern w:val="0"/>
                <w:sz w:val="28"/>
                <w:szCs w:val="28"/>
              </w:rPr>
              <w:t xml:space="preserve"> </w:t>
            </w:r>
          </w:p>
        </w:tc>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w:t>
            </w:r>
            <w:r w:rsidRPr="000C2EC0">
              <w:rPr>
                <w:rFonts w:ascii="標楷體" w:eastAsia="標楷體" w:hAnsi="標楷體" w:cs="新細明體"/>
                <w:color w:val="000000" w:themeColor="text1"/>
                <w:kern w:val="0"/>
                <w:sz w:val="28"/>
                <w:szCs w:val="28"/>
              </w:rPr>
              <w:t>360.</w:t>
            </w:r>
            <w:r w:rsidRPr="000C2EC0">
              <w:rPr>
                <w:rFonts w:ascii="標楷體" w:eastAsia="標楷體" w:hAnsi="標楷體" w:cs="新細明體" w:hint="eastAsia"/>
                <w:color w:val="000000" w:themeColor="text1"/>
                <w:kern w:val="0"/>
                <w:sz w:val="28"/>
                <w:szCs w:val="28"/>
              </w:rPr>
              <w:t xml:space="preserve">79 </w:t>
            </w:r>
          </w:p>
        </w:tc>
      </w:tr>
      <w:tr w:rsidR="000C2EC0" w:rsidRPr="000C2EC0" w:rsidTr="00A661F8">
        <w:trPr>
          <w:trHeight w:val="183"/>
        </w:trPr>
        <w:tc>
          <w:tcPr>
            <w:tcW w:w="1845" w:type="dxa"/>
            <w:vMerge/>
            <w:tcBorders>
              <w:top w:val="nil"/>
              <w:left w:val="single" w:sz="8" w:space="0" w:color="auto"/>
              <w:bottom w:val="single" w:sz="8"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c>
          <w:tcPr>
            <w:tcW w:w="3263" w:type="dxa"/>
            <w:tcBorders>
              <w:top w:val="nil"/>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住宅基金</w:t>
            </w:r>
          </w:p>
        </w:tc>
        <w:tc>
          <w:tcPr>
            <w:tcW w:w="1542" w:type="dxa"/>
            <w:tcBorders>
              <w:top w:val="nil"/>
              <w:left w:val="nil"/>
              <w:bottom w:val="single" w:sz="4"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1</w:t>
            </w:r>
            <w:r w:rsidRPr="000C2EC0">
              <w:rPr>
                <w:rFonts w:ascii="標楷體" w:eastAsia="標楷體" w:hAnsi="標楷體" w:cs="新細明體"/>
                <w:color w:val="000000" w:themeColor="text1"/>
                <w:kern w:val="0"/>
                <w:sz w:val="28"/>
                <w:szCs w:val="28"/>
              </w:rPr>
              <w:t>2</w:t>
            </w:r>
            <w:r w:rsidRPr="000C2EC0">
              <w:rPr>
                <w:rFonts w:ascii="標楷體" w:eastAsia="標楷體" w:hAnsi="標楷體" w:cs="新細明體" w:hint="eastAsia"/>
                <w:color w:val="000000" w:themeColor="text1"/>
                <w:kern w:val="0"/>
                <w:sz w:val="28"/>
                <w:szCs w:val="28"/>
              </w:rPr>
              <w:t>.</w:t>
            </w:r>
            <w:r w:rsidRPr="000C2EC0">
              <w:rPr>
                <w:rFonts w:ascii="標楷體" w:eastAsia="標楷體" w:hAnsi="標楷體" w:cs="新細明體"/>
                <w:color w:val="000000" w:themeColor="text1"/>
                <w:kern w:val="0"/>
                <w:sz w:val="28"/>
                <w:szCs w:val="28"/>
              </w:rPr>
              <w:t>30</w:t>
            </w:r>
            <w:r w:rsidRPr="000C2EC0">
              <w:rPr>
                <w:rFonts w:ascii="標楷體" w:eastAsia="標楷體" w:hAnsi="標楷體" w:cs="新細明體" w:hint="eastAsia"/>
                <w:color w:val="000000" w:themeColor="text1"/>
                <w:kern w:val="0"/>
                <w:sz w:val="28"/>
                <w:szCs w:val="28"/>
              </w:rPr>
              <w:t xml:space="preserve"> </w:t>
            </w:r>
          </w:p>
        </w:tc>
        <w:tc>
          <w:tcPr>
            <w:tcW w:w="1157" w:type="dxa"/>
            <w:vMerge/>
            <w:tcBorders>
              <w:top w:val="nil"/>
              <w:left w:val="single" w:sz="8" w:space="0" w:color="auto"/>
              <w:bottom w:val="single" w:sz="8" w:space="0" w:color="000000"/>
              <w:right w:val="single" w:sz="8"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p>
        </w:tc>
      </w:tr>
      <w:tr w:rsidR="000C2EC0" w:rsidRPr="000C2EC0" w:rsidTr="00A661F8">
        <w:trPr>
          <w:trHeight w:val="247"/>
        </w:trPr>
        <w:tc>
          <w:tcPr>
            <w:tcW w:w="1845" w:type="dxa"/>
            <w:vMerge/>
            <w:tcBorders>
              <w:top w:val="nil"/>
              <w:left w:val="single" w:sz="8" w:space="0" w:color="auto"/>
              <w:bottom w:val="single" w:sz="8"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c>
          <w:tcPr>
            <w:tcW w:w="3263" w:type="dxa"/>
            <w:tcBorders>
              <w:top w:val="nil"/>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公教輔購住宅基金</w:t>
            </w:r>
          </w:p>
        </w:tc>
        <w:tc>
          <w:tcPr>
            <w:tcW w:w="1542" w:type="dxa"/>
            <w:tcBorders>
              <w:top w:val="nil"/>
              <w:left w:val="nil"/>
              <w:bottom w:val="single" w:sz="4"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0.</w:t>
            </w:r>
            <w:r w:rsidRPr="000C2EC0">
              <w:rPr>
                <w:rFonts w:ascii="標楷體" w:eastAsia="標楷體" w:hAnsi="標楷體" w:cs="新細明體"/>
                <w:color w:val="000000" w:themeColor="text1"/>
                <w:kern w:val="0"/>
                <w:sz w:val="28"/>
                <w:szCs w:val="28"/>
              </w:rPr>
              <w:t>07</w:t>
            </w:r>
            <w:r w:rsidRPr="000C2EC0">
              <w:rPr>
                <w:rFonts w:ascii="標楷體" w:eastAsia="標楷體" w:hAnsi="標楷體" w:cs="新細明體" w:hint="eastAsia"/>
                <w:color w:val="000000" w:themeColor="text1"/>
                <w:kern w:val="0"/>
                <w:sz w:val="28"/>
                <w:szCs w:val="28"/>
              </w:rPr>
              <w:t xml:space="preserve"> </w:t>
            </w:r>
          </w:p>
        </w:tc>
        <w:tc>
          <w:tcPr>
            <w:tcW w:w="1157" w:type="dxa"/>
            <w:vMerge/>
            <w:tcBorders>
              <w:top w:val="nil"/>
              <w:left w:val="single" w:sz="8" w:space="0" w:color="auto"/>
              <w:bottom w:val="single" w:sz="8" w:space="0" w:color="000000"/>
              <w:right w:val="single" w:sz="8"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p>
        </w:tc>
      </w:tr>
      <w:tr w:rsidR="000C2EC0" w:rsidRPr="000C2EC0" w:rsidTr="00A661F8">
        <w:trPr>
          <w:trHeight w:val="53"/>
        </w:trPr>
        <w:tc>
          <w:tcPr>
            <w:tcW w:w="1845" w:type="dxa"/>
            <w:vMerge/>
            <w:tcBorders>
              <w:top w:val="nil"/>
              <w:left w:val="single" w:sz="8" w:space="0" w:color="auto"/>
              <w:bottom w:val="single" w:sz="8"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c>
          <w:tcPr>
            <w:tcW w:w="3263" w:type="dxa"/>
            <w:tcBorders>
              <w:top w:val="nil"/>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大眾捷運土地開發基金</w:t>
            </w:r>
          </w:p>
        </w:tc>
        <w:tc>
          <w:tcPr>
            <w:tcW w:w="1542" w:type="dxa"/>
            <w:tcBorders>
              <w:top w:val="nil"/>
              <w:left w:val="nil"/>
              <w:bottom w:val="single" w:sz="4"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20</w:t>
            </w:r>
            <w:r w:rsidRPr="000C2EC0">
              <w:rPr>
                <w:rFonts w:ascii="標楷體" w:eastAsia="標楷體" w:hAnsi="標楷體" w:cs="新細明體"/>
                <w:color w:val="000000" w:themeColor="text1"/>
                <w:kern w:val="0"/>
                <w:sz w:val="28"/>
                <w:szCs w:val="28"/>
              </w:rPr>
              <w:t>2</w:t>
            </w:r>
            <w:r w:rsidRPr="000C2EC0">
              <w:rPr>
                <w:rFonts w:ascii="標楷體" w:eastAsia="標楷體" w:hAnsi="標楷體" w:cs="新細明體" w:hint="eastAsia"/>
                <w:color w:val="000000" w:themeColor="text1"/>
                <w:kern w:val="0"/>
                <w:sz w:val="28"/>
                <w:szCs w:val="28"/>
              </w:rPr>
              <w:t>.</w:t>
            </w:r>
            <w:r w:rsidRPr="000C2EC0">
              <w:rPr>
                <w:rFonts w:ascii="標楷體" w:eastAsia="標楷體" w:hAnsi="標楷體" w:cs="新細明體"/>
                <w:color w:val="000000" w:themeColor="text1"/>
                <w:kern w:val="0"/>
                <w:sz w:val="28"/>
                <w:szCs w:val="28"/>
              </w:rPr>
              <w:t>97</w:t>
            </w:r>
          </w:p>
        </w:tc>
        <w:tc>
          <w:tcPr>
            <w:tcW w:w="1157" w:type="dxa"/>
            <w:vMerge/>
            <w:tcBorders>
              <w:top w:val="nil"/>
              <w:left w:val="single" w:sz="8" w:space="0" w:color="auto"/>
              <w:bottom w:val="single" w:sz="8" w:space="0" w:color="000000"/>
              <w:right w:val="single" w:sz="8"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p>
        </w:tc>
      </w:tr>
      <w:tr w:rsidR="000C2EC0" w:rsidRPr="000C2EC0" w:rsidTr="00A661F8">
        <w:trPr>
          <w:trHeight w:val="53"/>
        </w:trPr>
        <w:tc>
          <w:tcPr>
            <w:tcW w:w="1845" w:type="dxa"/>
            <w:vMerge/>
            <w:tcBorders>
              <w:top w:val="nil"/>
              <w:left w:val="single" w:sz="8" w:space="0" w:color="auto"/>
              <w:bottom w:val="single" w:sz="8"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c>
          <w:tcPr>
            <w:tcW w:w="3263" w:type="dxa"/>
            <w:tcBorders>
              <w:top w:val="nil"/>
              <w:left w:val="nil"/>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產業園區開發管理基金</w:t>
            </w:r>
          </w:p>
        </w:tc>
        <w:tc>
          <w:tcPr>
            <w:tcW w:w="1542" w:type="dxa"/>
            <w:tcBorders>
              <w:top w:val="nil"/>
              <w:left w:val="nil"/>
              <w:bottom w:val="single" w:sz="4"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w:t>
            </w:r>
            <w:r w:rsidRPr="000C2EC0">
              <w:rPr>
                <w:rFonts w:ascii="標楷體" w:eastAsia="標楷體" w:hAnsi="標楷體" w:cs="新細明體"/>
                <w:color w:val="000000" w:themeColor="text1"/>
                <w:kern w:val="0"/>
                <w:sz w:val="28"/>
                <w:szCs w:val="28"/>
              </w:rPr>
              <w:t>112</w:t>
            </w:r>
            <w:r w:rsidRPr="000C2EC0">
              <w:rPr>
                <w:rFonts w:ascii="標楷體" w:eastAsia="標楷體" w:hAnsi="標楷體" w:cs="新細明體" w:hint="eastAsia"/>
                <w:color w:val="000000" w:themeColor="text1"/>
                <w:kern w:val="0"/>
                <w:sz w:val="28"/>
                <w:szCs w:val="28"/>
              </w:rPr>
              <w:t>.</w:t>
            </w:r>
            <w:r w:rsidRPr="000C2EC0">
              <w:rPr>
                <w:rFonts w:ascii="標楷體" w:eastAsia="標楷體" w:hAnsi="標楷體" w:cs="新細明體"/>
                <w:color w:val="000000" w:themeColor="text1"/>
                <w:kern w:val="0"/>
                <w:sz w:val="28"/>
                <w:szCs w:val="28"/>
              </w:rPr>
              <w:t>38</w:t>
            </w:r>
            <w:r w:rsidRPr="000C2EC0">
              <w:rPr>
                <w:rFonts w:ascii="標楷體" w:eastAsia="標楷體" w:hAnsi="標楷體" w:cs="新細明體" w:hint="eastAsia"/>
                <w:color w:val="000000" w:themeColor="text1"/>
                <w:kern w:val="0"/>
                <w:sz w:val="28"/>
                <w:szCs w:val="28"/>
              </w:rPr>
              <w:t xml:space="preserve"> </w:t>
            </w:r>
          </w:p>
        </w:tc>
        <w:tc>
          <w:tcPr>
            <w:tcW w:w="1157" w:type="dxa"/>
            <w:vMerge/>
            <w:tcBorders>
              <w:top w:val="nil"/>
              <w:left w:val="single" w:sz="8" w:space="0" w:color="auto"/>
              <w:bottom w:val="single" w:sz="8" w:space="0" w:color="000000"/>
              <w:right w:val="single" w:sz="8"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p>
        </w:tc>
      </w:tr>
      <w:tr w:rsidR="000C2EC0" w:rsidRPr="000C2EC0" w:rsidTr="00A661F8">
        <w:trPr>
          <w:trHeight w:val="169"/>
        </w:trPr>
        <w:tc>
          <w:tcPr>
            <w:tcW w:w="1845" w:type="dxa"/>
            <w:vMerge/>
            <w:tcBorders>
              <w:top w:val="nil"/>
              <w:left w:val="single" w:sz="8" w:space="0" w:color="auto"/>
              <w:bottom w:val="single" w:sz="8" w:space="0" w:color="000000"/>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c>
          <w:tcPr>
            <w:tcW w:w="3263" w:type="dxa"/>
            <w:tcBorders>
              <w:top w:val="nil"/>
              <w:left w:val="nil"/>
              <w:bottom w:val="single" w:sz="8"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市有財產開發基金</w:t>
            </w:r>
          </w:p>
        </w:tc>
        <w:tc>
          <w:tcPr>
            <w:tcW w:w="1542" w:type="dxa"/>
            <w:tcBorders>
              <w:top w:val="nil"/>
              <w:left w:val="nil"/>
              <w:bottom w:val="single" w:sz="8" w:space="0" w:color="auto"/>
              <w:right w:val="nil"/>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5.</w:t>
            </w:r>
            <w:r w:rsidRPr="000C2EC0">
              <w:rPr>
                <w:rFonts w:ascii="標楷體" w:eastAsia="標楷體" w:hAnsi="標楷體" w:cs="新細明體"/>
                <w:color w:val="000000" w:themeColor="text1"/>
                <w:kern w:val="0"/>
                <w:sz w:val="28"/>
                <w:szCs w:val="28"/>
              </w:rPr>
              <w:t>1</w:t>
            </w:r>
            <w:r w:rsidRPr="000C2EC0">
              <w:rPr>
                <w:rFonts w:ascii="標楷體" w:eastAsia="標楷體" w:hAnsi="標楷體" w:cs="新細明體" w:hint="eastAsia"/>
                <w:color w:val="000000" w:themeColor="text1"/>
                <w:kern w:val="0"/>
                <w:sz w:val="28"/>
                <w:szCs w:val="28"/>
              </w:rPr>
              <w:t xml:space="preserve">0 </w:t>
            </w:r>
          </w:p>
        </w:tc>
        <w:tc>
          <w:tcPr>
            <w:tcW w:w="1157" w:type="dxa"/>
            <w:vMerge/>
            <w:tcBorders>
              <w:top w:val="nil"/>
              <w:left w:val="single" w:sz="8" w:space="0" w:color="auto"/>
              <w:bottom w:val="single" w:sz="8" w:space="0" w:color="000000"/>
              <w:right w:val="single" w:sz="8"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p>
        </w:tc>
      </w:tr>
      <w:tr w:rsidR="000C2EC0" w:rsidRPr="000C2EC0" w:rsidTr="00E25612">
        <w:trPr>
          <w:trHeight w:val="48"/>
        </w:trPr>
        <w:tc>
          <w:tcPr>
            <w:tcW w:w="7807" w:type="dxa"/>
            <w:gridSpan w:val="4"/>
            <w:tcBorders>
              <w:top w:val="single" w:sz="8" w:space="0" w:color="auto"/>
              <w:left w:val="nil"/>
              <w:bottom w:val="nil"/>
              <w:right w:val="nil"/>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Cs w:val="28"/>
              </w:rPr>
            </w:pPr>
            <w:r w:rsidRPr="000C2EC0">
              <w:rPr>
                <w:rFonts w:ascii="標楷體" w:eastAsia="標楷體" w:hAnsi="標楷體" w:cs="新細明體" w:hint="eastAsia"/>
                <w:color w:val="000000" w:themeColor="text1"/>
                <w:kern w:val="0"/>
                <w:szCs w:val="28"/>
              </w:rPr>
              <w:t>註:自償性債務係指將來有特定財源可供償還</w:t>
            </w:r>
            <w:r w:rsidRPr="000C2EC0">
              <w:rPr>
                <w:rFonts w:ascii="新細明體" w:hAnsi="新細明體" w:cs="新細明體" w:hint="eastAsia"/>
                <w:color w:val="000000" w:themeColor="text1"/>
                <w:kern w:val="0"/>
                <w:szCs w:val="28"/>
              </w:rPr>
              <w:t>。</w:t>
            </w:r>
          </w:p>
        </w:tc>
      </w:tr>
    </w:tbl>
    <w:p w:rsidR="00F76C62" w:rsidRPr="000C2EC0" w:rsidRDefault="00F76C62" w:rsidP="00F76C62">
      <w:pPr>
        <w:adjustRightInd w:val="0"/>
        <w:snapToGrid w:val="0"/>
        <w:spacing w:line="460" w:lineRule="exact"/>
        <w:ind w:leftChars="355" w:left="1560" w:hangingChars="253" w:hanging="708"/>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3. 營業基金與清理基金借款：</w:t>
      </w:r>
    </w:p>
    <w:p w:rsidR="00F76C62" w:rsidRPr="000C2EC0" w:rsidRDefault="00F76C62" w:rsidP="00F76C62">
      <w:pPr>
        <w:widowControl/>
        <w:tabs>
          <w:tab w:val="left" w:pos="8070"/>
        </w:tabs>
        <w:snapToGrid w:val="0"/>
        <w:spacing w:line="460" w:lineRule="exact"/>
        <w:ind w:leftChars="368" w:left="1158" w:hangingChars="101" w:hanging="275"/>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color w:val="000000" w:themeColor="text1"/>
          <w:spacing w:val="-4"/>
          <w:kern w:val="0"/>
          <w:sz w:val="28"/>
          <w:szCs w:val="28"/>
        </w:rPr>
        <w:tab/>
      </w:r>
      <w:r w:rsidRPr="000C2EC0">
        <w:rPr>
          <w:rFonts w:ascii="標楷體" w:eastAsia="標楷體" w:hAnsi="標楷體" w:cs="Times New Roman"/>
          <w:color w:val="000000" w:themeColor="text1"/>
          <w:spacing w:val="-4"/>
          <w:kern w:val="0"/>
          <w:sz w:val="28"/>
          <w:szCs w:val="28"/>
        </w:rPr>
        <w:tab/>
      </w:r>
      <w:r w:rsidRPr="000C2EC0">
        <w:rPr>
          <w:rFonts w:ascii="標楷體" w:eastAsia="標楷體" w:hAnsi="標楷體" w:cs="Times New Roman" w:hint="eastAsia"/>
          <w:color w:val="000000" w:themeColor="text1"/>
          <w:spacing w:val="-4"/>
          <w:kern w:val="0"/>
          <w:sz w:val="22"/>
          <w:szCs w:val="28"/>
        </w:rPr>
        <w:t>單位:億元</w:t>
      </w:r>
    </w:p>
    <w:tbl>
      <w:tblPr>
        <w:tblW w:w="7831" w:type="dxa"/>
        <w:tblInd w:w="1304" w:type="dxa"/>
        <w:tblCellMar>
          <w:left w:w="28" w:type="dxa"/>
          <w:right w:w="28" w:type="dxa"/>
        </w:tblCellMar>
        <w:tblLook w:val="04A0" w:firstRow="1" w:lastRow="0" w:firstColumn="1" w:lastColumn="0" w:noHBand="0" w:noVBand="1"/>
      </w:tblPr>
      <w:tblGrid>
        <w:gridCol w:w="1851"/>
        <w:gridCol w:w="3275"/>
        <w:gridCol w:w="1618"/>
        <w:gridCol w:w="1087"/>
      </w:tblGrid>
      <w:tr w:rsidR="000C2EC0" w:rsidRPr="000C2EC0" w:rsidTr="00A661F8">
        <w:trPr>
          <w:trHeight w:val="335"/>
        </w:trPr>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債務類別</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名稱</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金額</w:t>
            </w:r>
          </w:p>
        </w:tc>
        <w:tc>
          <w:tcPr>
            <w:tcW w:w="108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合計</w:t>
            </w:r>
          </w:p>
        </w:tc>
      </w:tr>
      <w:tr w:rsidR="000C2EC0" w:rsidRPr="000C2EC0" w:rsidTr="00A661F8">
        <w:trPr>
          <w:trHeight w:val="407"/>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營業基金</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輪船公司營業基金</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7.07</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20</w:t>
            </w:r>
            <w:r w:rsidRPr="000C2EC0">
              <w:rPr>
                <w:rFonts w:ascii="標楷體" w:eastAsia="標楷體" w:hAnsi="標楷體" w:cs="新細明體"/>
                <w:color w:val="000000" w:themeColor="text1"/>
                <w:kern w:val="0"/>
                <w:sz w:val="28"/>
                <w:szCs w:val="28"/>
              </w:rPr>
              <w:t>5</w:t>
            </w:r>
            <w:r w:rsidRPr="000C2EC0">
              <w:rPr>
                <w:rFonts w:ascii="標楷體" w:eastAsia="標楷體" w:hAnsi="標楷體" w:cs="新細明體" w:hint="eastAsia"/>
                <w:color w:val="000000" w:themeColor="text1"/>
                <w:kern w:val="0"/>
                <w:sz w:val="28"/>
                <w:szCs w:val="28"/>
              </w:rPr>
              <w:t xml:space="preserve">.55 </w:t>
            </w:r>
          </w:p>
        </w:tc>
      </w:tr>
      <w:tr w:rsidR="000C2EC0" w:rsidRPr="000C2EC0" w:rsidTr="00A661F8">
        <w:trPr>
          <w:trHeight w:val="357"/>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動產質借所營業基金</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w:t>
            </w:r>
            <w:r w:rsidRPr="000C2EC0">
              <w:rPr>
                <w:rFonts w:ascii="標楷體" w:eastAsia="標楷體" w:hAnsi="標楷體" w:cs="新細明體"/>
                <w:color w:val="000000" w:themeColor="text1"/>
                <w:kern w:val="0"/>
                <w:sz w:val="28"/>
                <w:szCs w:val="28"/>
              </w:rPr>
              <w:t>0.41</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r>
      <w:tr w:rsidR="000C2EC0" w:rsidRPr="000C2EC0" w:rsidTr="00A661F8">
        <w:trPr>
          <w:trHeight w:val="279"/>
        </w:trPr>
        <w:tc>
          <w:tcPr>
            <w:tcW w:w="1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清理基金</w:t>
            </w:r>
          </w:p>
        </w:tc>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80" w:lineRule="exact"/>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公車處清理基金</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62" w:rsidRPr="000C2EC0" w:rsidRDefault="00F76C62" w:rsidP="00E25612">
            <w:pPr>
              <w:widowControl/>
              <w:spacing w:line="240" w:lineRule="exact"/>
              <w:jc w:val="right"/>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 w:val="28"/>
                <w:szCs w:val="28"/>
              </w:rPr>
              <w:t xml:space="preserve">       19</w:t>
            </w:r>
            <w:r w:rsidRPr="000C2EC0">
              <w:rPr>
                <w:rFonts w:ascii="標楷體" w:eastAsia="標楷體" w:hAnsi="標楷體" w:cs="新細明體"/>
                <w:color w:val="000000" w:themeColor="text1"/>
                <w:kern w:val="0"/>
                <w:sz w:val="28"/>
                <w:szCs w:val="28"/>
              </w:rPr>
              <w:t>8</w:t>
            </w:r>
            <w:r w:rsidRPr="000C2EC0">
              <w:rPr>
                <w:rFonts w:ascii="標楷體" w:eastAsia="標楷體" w:hAnsi="標楷體" w:cs="新細明體" w:hint="eastAsia"/>
                <w:color w:val="000000" w:themeColor="text1"/>
                <w:kern w:val="0"/>
                <w:sz w:val="28"/>
                <w:szCs w:val="28"/>
              </w:rPr>
              <w:t>.</w:t>
            </w:r>
            <w:r w:rsidRPr="000C2EC0">
              <w:rPr>
                <w:rFonts w:ascii="標楷體" w:eastAsia="標楷體" w:hAnsi="標楷體" w:cs="新細明體"/>
                <w:color w:val="000000" w:themeColor="text1"/>
                <w:kern w:val="0"/>
                <w:sz w:val="28"/>
                <w:szCs w:val="28"/>
              </w:rPr>
              <w:t>07</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F76C62" w:rsidRPr="000C2EC0" w:rsidRDefault="00F76C62" w:rsidP="00E25612">
            <w:pPr>
              <w:widowControl/>
              <w:spacing w:line="240" w:lineRule="exact"/>
              <w:jc w:val="both"/>
              <w:rPr>
                <w:rFonts w:ascii="標楷體" w:eastAsia="標楷體" w:hAnsi="標楷體" w:cs="新細明體"/>
                <w:color w:val="000000" w:themeColor="text1"/>
                <w:kern w:val="0"/>
                <w:sz w:val="28"/>
                <w:szCs w:val="28"/>
              </w:rPr>
            </w:pPr>
          </w:p>
        </w:tc>
      </w:tr>
      <w:tr w:rsidR="000C2EC0" w:rsidRPr="000C2EC0" w:rsidTr="00E25612">
        <w:trPr>
          <w:trHeight w:val="1211"/>
        </w:trPr>
        <w:tc>
          <w:tcPr>
            <w:tcW w:w="7831" w:type="dxa"/>
            <w:gridSpan w:val="4"/>
            <w:tcBorders>
              <w:left w:val="nil"/>
              <w:bottom w:val="nil"/>
              <w:right w:val="nil"/>
            </w:tcBorders>
            <w:shd w:val="clear" w:color="auto" w:fill="auto"/>
            <w:vAlign w:val="center"/>
            <w:hideMark/>
          </w:tcPr>
          <w:p w:rsidR="00F76C62" w:rsidRPr="000C2EC0" w:rsidRDefault="00F76C62" w:rsidP="00E25612">
            <w:pPr>
              <w:widowControl/>
              <w:spacing w:line="240" w:lineRule="exact"/>
              <w:ind w:left="360" w:hangingChars="150" w:hanging="360"/>
              <w:jc w:val="both"/>
              <w:rPr>
                <w:rFonts w:ascii="標楷體" w:eastAsia="標楷體" w:hAnsi="標楷體" w:cs="新細明體"/>
                <w:color w:val="000000" w:themeColor="text1"/>
                <w:kern w:val="0"/>
                <w:sz w:val="28"/>
                <w:szCs w:val="28"/>
              </w:rPr>
            </w:pPr>
            <w:r w:rsidRPr="000C2EC0">
              <w:rPr>
                <w:rFonts w:ascii="標楷體" w:eastAsia="標楷體" w:hAnsi="標楷體" w:cs="新細明體" w:hint="eastAsia"/>
                <w:color w:val="000000" w:themeColor="text1"/>
                <w:kern w:val="0"/>
                <w:szCs w:val="28"/>
              </w:rPr>
              <w:t>註:動產質借所營業基金有營業累積盈餘，舉借透支借款係為營業周轉之用；另公車處清理基金於103年已編列50年債務清理計畫送經議會審議通過</w:t>
            </w:r>
            <w:r w:rsidRPr="000C2EC0">
              <w:rPr>
                <w:rFonts w:ascii="新細明體" w:hAnsi="新細明體" w:cs="新細明體" w:hint="eastAsia"/>
                <w:color w:val="000000" w:themeColor="text1"/>
                <w:kern w:val="0"/>
                <w:szCs w:val="28"/>
              </w:rPr>
              <w:t>｡</w:t>
            </w:r>
          </w:p>
        </w:tc>
      </w:tr>
    </w:tbl>
    <w:p w:rsidR="001C5687" w:rsidRPr="00A661F8" w:rsidRDefault="001C5687" w:rsidP="00066036">
      <w:pPr>
        <w:adjustRightInd w:val="0"/>
        <w:snapToGrid w:val="0"/>
        <w:spacing w:line="460" w:lineRule="exact"/>
        <w:ind w:leftChars="355" w:left="1460" w:hangingChars="253" w:hanging="608"/>
        <w:jc w:val="both"/>
        <w:rPr>
          <w:b/>
          <w:color w:val="000000" w:themeColor="text1"/>
        </w:rPr>
      </w:pPr>
    </w:p>
    <w:p w:rsidR="00297AAD" w:rsidRPr="000C2EC0" w:rsidRDefault="00297AAD" w:rsidP="00682F92">
      <w:pPr>
        <w:pStyle w:val="affffffff8"/>
        <w:spacing w:line="440" w:lineRule="exact"/>
        <w:ind w:leftChars="100" w:left="240" w:firstLineChars="167" w:firstLine="468"/>
        <w:jc w:val="both"/>
        <w:rPr>
          <w:b w:val="0"/>
          <w:color w:val="000000" w:themeColor="text1"/>
        </w:rPr>
      </w:pPr>
      <w:r w:rsidRPr="000C2EC0">
        <w:rPr>
          <w:rFonts w:hint="eastAsia"/>
          <w:b w:val="0"/>
          <w:color w:val="000000" w:themeColor="text1"/>
        </w:rPr>
        <w:t>（三）本府開源節流措施推動情形</w:t>
      </w:r>
    </w:p>
    <w:p w:rsidR="00297AAD" w:rsidRDefault="00297AAD" w:rsidP="00682F92">
      <w:pPr>
        <w:adjustRightInd w:val="0"/>
        <w:snapToGrid w:val="0"/>
        <w:spacing w:line="460" w:lineRule="exact"/>
        <w:ind w:leftChars="650" w:left="184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1.10</w:t>
      </w:r>
      <w:r w:rsidRPr="000C2EC0">
        <w:rPr>
          <w:rFonts w:ascii="標楷體" w:eastAsia="標楷體" w:hAnsi="標楷體" w:cs="超研澤粗黑"/>
          <w:color w:val="000000" w:themeColor="text1"/>
          <w:sz w:val="28"/>
          <w:szCs w:val="28"/>
        </w:rPr>
        <w:t>8</w:t>
      </w:r>
      <w:r w:rsidRPr="000C2EC0">
        <w:rPr>
          <w:rFonts w:ascii="標楷體" w:eastAsia="標楷體" w:hAnsi="標楷體" w:cs="超研澤粗黑" w:hint="eastAsia"/>
          <w:color w:val="000000" w:themeColor="text1"/>
          <w:sz w:val="28"/>
          <w:szCs w:val="28"/>
        </w:rPr>
        <w:t>年度開源節流措施可量化項目執行績效為342.01億元，包含開源335.56億元及節流6.45億元，主要為「積極向中央爭取建設經費補助」281.88億元、「加強市有財產管理及開發」20.02億元、「落實執行欠稅催徵及稅籍清查作業」13.59億元、「各機關結合業務推動開源措施」12.54億元等，並完成高雄捷運鳳山國中站周邊地區都市更新案簽約、鳳山區竹子腳段28地號文教區變更為商業區細部計畫公告發布實施、第77期及第82期市地重劃區抵費地標售等具體成果。</w:t>
      </w:r>
    </w:p>
    <w:p w:rsidR="00420F95" w:rsidRPr="00420F95" w:rsidRDefault="00420F95" w:rsidP="00682F92">
      <w:pPr>
        <w:adjustRightInd w:val="0"/>
        <w:snapToGrid w:val="0"/>
        <w:spacing w:line="460" w:lineRule="exact"/>
        <w:ind w:leftChars="650" w:left="1840" w:hangingChars="100" w:hanging="280"/>
        <w:jc w:val="both"/>
        <w:rPr>
          <w:rFonts w:ascii="標楷體" w:eastAsia="標楷體" w:hAnsi="標楷體" w:cs="超研澤粗黑"/>
          <w:color w:val="000000" w:themeColor="text1"/>
          <w:sz w:val="28"/>
          <w:szCs w:val="28"/>
        </w:rPr>
      </w:pPr>
    </w:p>
    <w:p w:rsidR="00297AAD" w:rsidRPr="000C2EC0" w:rsidRDefault="00297AAD" w:rsidP="00682F92">
      <w:pPr>
        <w:adjustRightInd w:val="0"/>
        <w:snapToGrid w:val="0"/>
        <w:spacing w:line="460" w:lineRule="exact"/>
        <w:ind w:leftChars="650" w:left="184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lastRenderedPageBreak/>
        <w:t>2.10</w:t>
      </w:r>
      <w:bookmarkStart w:id="1" w:name="_Hlk13045753"/>
      <w:r w:rsidRPr="000C2EC0">
        <w:rPr>
          <w:rFonts w:ascii="標楷體" w:eastAsia="標楷體" w:hAnsi="標楷體" w:cs="超研澤粗黑"/>
          <w:color w:val="000000" w:themeColor="text1"/>
          <w:sz w:val="28"/>
          <w:szCs w:val="28"/>
        </w:rPr>
        <w:t>9</w:t>
      </w:r>
      <w:r w:rsidRPr="000C2EC0">
        <w:rPr>
          <w:rFonts w:ascii="標楷體" w:eastAsia="標楷體" w:hAnsi="標楷體" w:cs="超研澤粗黑" w:hint="eastAsia"/>
          <w:color w:val="000000" w:themeColor="text1"/>
          <w:sz w:val="28"/>
          <w:szCs w:val="28"/>
        </w:rPr>
        <w:t>年度作業計畫已於109年2月27日函頒，將賡續推動市有地活化開發、爭取中央補助經費、辦理國內外招商、加強員額管控等措施，督促各機關積極開源節流。</w:t>
      </w:r>
      <w:bookmarkEnd w:id="1"/>
    </w:p>
    <w:p w:rsidR="00A52886" w:rsidRPr="000B73AC" w:rsidRDefault="00A52886" w:rsidP="002C7CB8">
      <w:pPr>
        <w:pStyle w:val="affffffff6"/>
        <w:spacing w:beforeLines="50" w:before="180" w:after="0" w:line="440" w:lineRule="exact"/>
        <w:jc w:val="both"/>
        <w:rPr>
          <w:rFonts w:ascii="標楷體" w:eastAsia="標楷體" w:hAnsi="標楷體"/>
          <w:color w:val="FF0000"/>
          <w:sz w:val="32"/>
          <w:szCs w:val="32"/>
        </w:rPr>
      </w:pPr>
      <w:r w:rsidRPr="000C2EC0">
        <w:rPr>
          <w:rFonts w:ascii="標楷體" w:eastAsia="標楷體" w:hAnsi="標楷體" w:hint="eastAsia"/>
          <w:color w:val="000000" w:themeColor="text1"/>
          <w:sz w:val="32"/>
          <w:szCs w:val="32"/>
        </w:rPr>
        <w:t>二、稅務、金融管理</w:t>
      </w:r>
    </w:p>
    <w:p w:rsidR="00854B81" w:rsidRPr="000C2EC0" w:rsidRDefault="00854B81" w:rsidP="009306ED">
      <w:pPr>
        <w:pStyle w:val="affffffff8"/>
        <w:spacing w:line="440" w:lineRule="exact"/>
        <w:ind w:leftChars="100" w:left="240" w:firstLineChars="114" w:firstLine="319"/>
        <w:jc w:val="both"/>
        <w:rPr>
          <w:b w:val="0"/>
          <w:color w:val="000000" w:themeColor="text1"/>
        </w:rPr>
      </w:pPr>
      <w:r w:rsidRPr="000C2EC0">
        <w:rPr>
          <w:rFonts w:hint="eastAsia"/>
          <w:b w:val="0"/>
          <w:color w:val="000000" w:themeColor="text1"/>
        </w:rPr>
        <w:t>（一）稅務管理</w:t>
      </w:r>
    </w:p>
    <w:p w:rsidR="00854B81" w:rsidRPr="000C2EC0" w:rsidRDefault="00854B81" w:rsidP="009306ED">
      <w:pPr>
        <w:widowControl/>
        <w:numPr>
          <w:ilvl w:val="0"/>
          <w:numId w:val="11"/>
        </w:numPr>
        <w:tabs>
          <w:tab w:val="left" w:pos="851"/>
        </w:tabs>
        <w:kinsoku w:val="0"/>
        <w:overflowPunct w:val="0"/>
        <w:autoSpaceDE w:val="0"/>
        <w:autoSpaceDN w:val="0"/>
        <w:adjustRightInd w:val="0"/>
        <w:snapToGrid w:val="0"/>
        <w:spacing w:line="460" w:lineRule="exact"/>
        <w:ind w:left="1843"/>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hint="eastAsia"/>
          <w:color w:val="000000" w:themeColor="text1"/>
          <w:spacing w:val="-4"/>
          <w:kern w:val="0"/>
          <w:sz w:val="28"/>
          <w:szCs w:val="28"/>
        </w:rPr>
        <w:t>重行評定本市房屋標準價格：</w:t>
      </w:r>
    </w:p>
    <w:p w:rsidR="00854B81" w:rsidRPr="000C2EC0" w:rsidRDefault="00854B81" w:rsidP="009306ED">
      <w:pPr>
        <w:kinsoku w:val="0"/>
        <w:overflowPunct w:val="0"/>
        <w:autoSpaceDE w:val="0"/>
        <w:autoSpaceDN w:val="0"/>
        <w:adjustRightInd w:val="0"/>
        <w:snapToGrid w:val="0"/>
        <w:spacing w:line="460" w:lineRule="exact"/>
        <w:ind w:left="1843"/>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hint="eastAsia"/>
          <w:color w:val="000000" w:themeColor="text1"/>
          <w:spacing w:val="-4"/>
          <w:kern w:val="0"/>
          <w:sz w:val="28"/>
          <w:szCs w:val="28"/>
        </w:rPr>
        <w:t>本市於109年辦理重行評定房屋標準價格有關事項，「本市一般房屋標準單價表」、「各類房屋折舊標準及耐用年數表」及「房屋路線地段等級調整率表」等案，經不動產評價委員審議通過並於109年6月8日公告，自同年7月1日起適用。</w:t>
      </w:r>
    </w:p>
    <w:p w:rsidR="00F76C62" w:rsidRPr="000C2EC0" w:rsidRDefault="00F76C62" w:rsidP="009306ED">
      <w:pPr>
        <w:widowControl/>
        <w:numPr>
          <w:ilvl w:val="0"/>
          <w:numId w:val="11"/>
        </w:numPr>
        <w:kinsoku w:val="0"/>
        <w:overflowPunct w:val="0"/>
        <w:autoSpaceDE w:val="0"/>
        <w:autoSpaceDN w:val="0"/>
        <w:adjustRightInd w:val="0"/>
        <w:snapToGrid w:val="0"/>
        <w:spacing w:line="460" w:lineRule="exact"/>
        <w:ind w:left="1843"/>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hint="eastAsia"/>
          <w:color w:val="000000" w:themeColor="text1"/>
          <w:spacing w:val="-4"/>
          <w:kern w:val="0"/>
          <w:sz w:val="28"/>
          <w:szCs w:val="28"/>
        </w:rPr>
        <w:t>稅捐稽徵及清理欠稅情形：</w:t>
      </w:r>
    </w:p>
    <w:p w:rsidR="00F76C62" w:rsidRPr="000C2EC0" w:rsidRDefault="00F76C62" w:rsidP="009306ED">
      <w:pPr>
        <w:kinsoku w:val="0"/>
        <w:overflowPunct w:val="0"/>
        <w:autoSpaceDE w:val="0"/>
        <w:autoSpaceDN w:val="0"/>
        <w:adjustRightInd w:val="0"/>
        <w:snapToGrid w:val="0"/>
        <w:spacing w:line="460" w:lineRule="exact"/>
        <w:ind w:leftChars="265" w:left="2268" w:hangingChars="600" w:hanging="1632"/>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spacing w:val="-4"/>
          <w:kern w:val="0"/>
          <w:sz w:val="28"/>
          <w:szCs w:val="28"/>
        </w:rPr>
        <w:t xml:space="preserve">         (1)</w:t>
      </w:r>
      <w:r w:rsidRPr="000C2EC0">
        <w:rPr>
          <w:rFonts w:ascii="標楷體" w:eastAsia="標楷體" w:hAnsi="標楷體" w:cs="Times New Roman" w:hint="eastAsia"/>
          <w:color w:val="000000" w:themeColor="text1"/>
          <w:kern w:val="0"/>
          <w:sz w:val="28"/>
          <w:szCs w:val="28"/>
        </w:rPr>
        <w:t>本市109年度市稅預算數421億7,200萬元；截至109年6月底止實徵淨額累計224億8,194萬元，達成率53.3％。</w:t>
      </w:r>
    </w:p>
    <w:p w:rsidR="00F76C62" w:rsidRPr="000C2EC0" w:rsidRDefault="00F76C62" w:rsidP="009306ED">
      <w:pPr>
        <w:kinsoku w:val="0"/>
        <w:overflowPunct w:val="0"/>
        <w:autoSpaceDE w:val="0"/>
        <w:autoSpaceDN w:val="0"/>
        <w:adjustRightInd w:val="0"/>
        <w:snapToGrid w:val="0"/>
        <w:spacing w:line="460" w:lineRule="exact"/>
        <w:ind w:leftChars="265" w:left="2268" w:hangingChars="600" w:hanging="1632"/>
        <w:jc w:val="both"/>
        <w:rPr>
          <w:rFonts w:ascii="標楷體" w:eastAsia="標楷體" w:hAnsi="標楷體" w:cs="Times New Roman"/>
          <w:color w:val="000000" w:themeColor="text1"/>
          <w:spacing w:val="-4"/>
          <w:kern w:val="0"/>
          <w:sz w:val="28"/>
          <w:szCs w:val="28"/>
        </w:rPr>
      </w:pPr>
      <w:r w:rsidRPr="000C2EC0">
        <w:rPr>
          <w:rFonts w:ascii="標楷體" w:eastAsia="標楷體" w:hAnsi="標楷體" w:cs="Times New Roman" w:hint="eastAsia"/>
          <w:color w:val="000000" w:themeColor="text1"/>
          <w:spacing w:val="-4"/>
          <w:kern w:val="0"/>
          <w:sz w:val="28"/>
          <w:szCs w:val="28"/>
        </w:rPr>
        <w:t xml:space="preserve">      </w:t>
      </w:r>
      <w:r w:rsidR="009306ED">
        <w:rPr>
          <w:rFonts w:ascii="標楷體" w:eastAsia="標楷體" w:hAnsi="標楷體" w:cs="Times New Roman" w:hint="eastAsia"/>
          <w:color w:val="000000" w:themeColor="text1"/>
          <w:spacing w:val="-4"/>
          <w:kern w:val="0"/>
          <w:sz w:val="28"/>
          <w:szCs w:val="28"/>
        </w:rPr>
        <w:t xml:space="preserve">  </w:t>
      </w:r>
      <w:r w:rsidRPr="000C2EC0">
        <w:rPr>
          <w:rFonts w:ascii="標楷體" w:eastAsia="標楷體" w:hAnsi="標楷體" w:cs="Times New Roman" w:hint="eastAsia"/>
          <w:color w:val="000000" w:themeColor="text1"/>
          <w:spacing w:val="-4"/>
          <w:kern w:val="0"/>
          <w:sz w:val="28"/>
          <w:szCs w:val="28"/>
        </w:rPr>
        <w:t xml:space="preserve"> (2)督導本市稅捐處積極加強清理欠稅，截至109年6月底止清理欠稅累計徵起6.07億元。</w:t>
      </w:r>
    </w:p>
    <w:p w:rsidR="00854B81" w:rsidRPr="000C2EC0" w:rsidRDefault="00854B81" w:rsidP="009306ED">
      <w:pPr>
        <w:pStyle w:val="affffffff8"/>
        <w:spacing w:line="440" w:lineRule="exact"/>
        <w:ind w:leftChars="100" w:left="240" w:firstLineChars="134" w:firstLine="375"/>
        <w:jc w:val="both"/>
        <w:rPr>
          <w:b w:val="0"/>
          <w:color w:val="000000" w:themeColor="text1"/>
        </w:rPr>
      </w:pPr>
      <w:r w:rsidRPr="000C2EC0">
        <w:rPr>
          <w:rFonts w:hint="eastAsia"/>
          <w:b w:val="0"/>
          <w:color w:val="000000" w:themeColor="text1"/>
        </w:rPr>
        <w:t>（二）金融管理</w:t>
      </w:r>
    </w:p>
    <w:p w:rsidR="00854B81" w:rsidRPr="000C2EC0" w:rsidRDefault="00854B81" w:rsidP="009306ED">
      <w:pPr>
        <w:kinsoku w:val="0"/>
        <w:overflowPunct w:val="0"/>
        <w:autoSpaceDE w:val="0"/>
        <w:autoSpaceDN w:val="0"/>
        <w:adjustRightInd w:val="0"/>
        <w:snapToGrid w:val="0"/>
        <w:spacing w:line="460" w:lineRule="exact"/>
        <w:ind w:leftChars="554" w:left="1417" w:hangingChars="31" w:hanging="87"/>
        <w:jc w:val="both"/>
        <w:rPr>
          <w:rFonts w:ascii="標楷體" w:eastAsia="標楷體" w:hAnsi="標楷體" w:cs="Times New Roman"/>
          <w:bCs/>
          <w:color w:val="000000" w:themeColor="text1"/>
          <w:sz w:val="28"/>
          <w:szCs w:val="28"/>
        </w:rPr>
      </w:pPr>
      <w:r w:rsidRPr="000C2EC0">
        <w:rPr>
          <w:rFonts w:ascii="標楷體" w:eastAsia="標楷體" w:hAnsi="標楷體" w:cs="Times New Roman" w:hint="eastAsia"/>
          <w:bCs/>
          <w:color w:val="000000" w:themeColor="text1"/>
          <w:sz w:val="28"/>
          <w:szCs w:val="28"/>
        </w:rPr>
        <w:t xml:space="preserve"> 1.信用合作社管理</w:t>
      </w:r>
    </w:p>
    <w:p w:rsidR="00854B81" w:rsidRPr="000C2EC0" w:rsidRDefault="00854B81" w:rsidP="009306ED">
      <w:pPr>
        <w:kinsoku w:val="0"/>
        <w:overflowPunct w:val="0"/>
        <w:autoSpaceDE w:val="0"/>
        <w:autoSpaceDN w:val="0"/>
        <w:adjustRightInd w:val="0"/>
        <w:snapToGrid w:val="0"/>
        <w:spacing w:line="460" w:lineRule="exact"/>
        <w:ind w:leftChars="707" w:left="1699" w:hanging="2"/>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督導本市第三信用合作社提足備抵呆帳，降低逾放比率，強化資本結構，提升資本適足率，建全財務結構，另督導其加強監事會職能，建立內部控制及稽核制度，以防弊端。</w:t>
      </w:r>
    </w:p>
    <w:p w:rsidR="00A914D4" w:rsidRPr="000C2EC0" w:rsidRDefault="00A914D4" w:rsidP="009306ED">
      <w:pPr>
        <w:tabs>
          <w:tab w:val="left" w:pos="709"/>
          <w:tab w:val="left" w:pos="938"/>
        </w:tabs>
        <w:kinsoku w:val="0"/>
        <w:overflowPunct w:val="0"/>
        <w:autoSpaceDE w:val="0"/>
        <w:autoSpaceDN w:val="0"/>
        <w:adjustRightInd w:val="0"/>
        <w:snapToGrid w:val="0"/>
        <w:spacing w:line="460" w:lineRule="exact"/>
        <w:ind w:leftChars="554" w:left="1332" w:hanging="2"/>
        <w:jc w:val="both"/>
        <w:rPr>
          <w:rFonts w:ascii="標楷體" w:eastAsia="標楷體" w:hAnsi="標楷體" w:cs="Times New Roman"/>
          <w:color w:val="000000" w:themeColor="text1"/>
          <w:kern w:val="0"/>
          <w:sz w:val="28"/>
          <w:szCs w:val="28"/>
        </w:rPr>
      </w:pPr>
    </w:p>
    <w:p w:rsidR="00F76C62" w:rsidRPr="000C2EC0" w:rsidRDefault="00F76C62" w:rsidP="009306ED">
      <w:pPr>
        <w:kinsoku w:val="0"/>
        <w:overflowPunct w:val="0"/>
        <w:autoSpaceDE w:val="0"/>
        <w:autoSpaceDN w:val="0"/>
        <w:adjustRightInd w:val="0"/>
        <w:snapToGrid w:val="0"/>
        <w:spacing w:line="480" w:lineRule="exact"/>
        <w:ind w:leftChars="591" w:left="1698" w:hangingChars="100" w:hanging="280"/>
        <w:jc w:val="both"/>
        <w:rPr>
          <w:rFonts w:ascii="標楷體" w:eastAsia="標楷體" w:hAnsi="標楷體" w:cs="Times New Roman"/>
          <w:bCs/>
          <w:color w:val="000000" w:themeColor="text1"/>
          <w:sz w:val="28"/>
          <w:szCs w:val="28"/>
        </w:rPr>
      </w:pPr>
      <w:r w:rsidRPr="000C2EC0">
        <w:rPr>
          <w:rFonts w:ascii="標楷體" w:eastAsia="標楷體" w:hAnsi="標楷體" w:cs="Times New Roman" w:hint="eastAsia"/>
          <w:bCs/>
          <w:color w:val="000000" w:themeColor="text1"/>
          <w:sz w:val="28"/>
          <w:szCs w:val="28"/>
        </w:rPr>
        <w:t>2.農漁會信用部管理</w:t>
      </w:r>
    </w:p>
    <w:p w:rsidR="00F76C62" w:rsidRPr="000C2EC0" w:rsidRDefault="00F76C62" w:rsidP="009306ED">
      <w:pPr>
        <w:kinsoku w:val="0"/>
        <w:overflowPunct w:val="0"/>
        <w:autoSpaceDE w:val="0"/>
        <w:autoSpaceDN w:val="0"/>
        <w:adjustRightInd w:val="0"/>
        <w:snapToGrid w:val="0"/>
        <w:spacing w:line="480" w:lineRule="exact"/>
        <w:ind w:leftChars="744" w:left="2254" w:hangingChars="167" w:hanging="468"/>
        <w:jc w:val="both"/>
        <w:rPr>
          <w:rFonts w:ascii="標楷體" w:eastAsia="標楷體" w:hAnsi="標楷體" w:cs="Times New Roman"/>
          <w:bCs/>
          <w:color w:val="000000" w:themeColor="text1"/>
          <w:sz w:val="28"/>
          <w:szCs w:val="28"/>
        </w:rPr>
      </w:pPr>
      <w:r w:rsidRPr="000C2EC0">
        <w:rPr>
          <w:rFonts w:ascii="標楷體" w:eastAsia="標楷體" w:hAnsi="標楷體" w:cs="Times New Roman"/>
          <w:bCs/>
          <w:color w:val="000000" w:themeColor="text1"/>
          <w:sz w:val="28"/>
          <w:szCs w:val="28"/>
        </w:rPr>
        <w:t>(1)為提高</w:t>
      </w:r>
      <w:bookmarkStart w:id="2" w:name="_Hlk502653000"/>
      <w:r w:rsidRPr="000C2EC0">
        <w:rPr>
          <w:rFonts w:ascii="標楷體" w:eastAsia="標楷體" w:hAnsi="標楷體" w:cs="Times New Roman"/>
          <w:bCs/>
          <w:color w:val="000000" w:themeColor="text1"/>
          <w:sz w:val="28"/>
          <w:szCs w:val="28"/>
        </w:rPr>
        <w:t>農</w:t>
      </w:r>
      <w:bookmarkStart w:id="3" w:name="_Hlk502653010"/>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漁</w:t>
      </w:r>
      <w:bookmarkEnd w:id="3"/>
      <w:r w:rsidRPr="000C2EC0">
        <w:rPr>
          <w:rFonts w:ascii="標楷體" w:eastAsia="標楷體" w:hAnsi="標楷體" w:cs="Times New Roman"/>
          <w:bCs/>
          <w:color w:val="000000" w:themeColor="text1"/>
          <w:sz w:val="28"/>
          <w:szCs w:val="28"/>
        </w:rPr>
        <w:t>民</w:t>
      </w:r>
      <w:bookmarkEnd w:id="2"/>
      <w:r w:rsidRPr="000C2EC0">
        <w:rPr>
          <w:rFonts w:ascii="標楷體" w:eastAsia="標楷體" w:hAnsi="標楷體" w:cs="Times New Roman"/>
          <w:bCs/>
          <w:color w:val="000000" w:themeColor="text1"/>
          <w:sz w:val="28"/>
          <w:szCs w:val="28"/>
        </w:rPr>
        <w:t>知識技能，增加其生產收益，改善農</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漁民生活，發展農</w:t>
      </w:r>
      <w:r w:rsidRPr="000C2EC0">
        <w:rPr>
          <w:rFonts w:ascii="標楷體" w:eastAsia="標楷體" w:hAnsi="標楷體" w:cs="Times New Roman" w:hint="eastAsia"/>
          <w:bCs/>
          <w:color w:val="000000" w:themeColor="text1"/>
          <w:sz w:val="28"/>
          <w:szCs w:val="28"/>
        </w:rPr>
        <w:t>、</w:t>
      </w:r>
      <w:r w:rsidRPr="000C2EC0">
        <w:rPr>
          <w:rFonts w:ascii="標楷體" w:eastAsia="標楷體" w:hAnsi="標楷體" w:cs="Times New Roman"/>
          <w:bCs/>
          <w:color w:val="000000" w:themeColor="text1"/>
          <w:sz w:val="28"/>
          <w:szCs w:val="28"/>
        </w:rPr>
        <w:t>漁村經濟</w:t>
      </w:r>
      <w:r w:rsidRPr="000C2EC0">
        <w:rPr>
          <w:rFonts w:ascii="標楷體" w:eastAsia="標楷體" w:hAnsi="標楷體" w:cs="Times New Roman" w:hint="eastAsia"/>
          <w:bCs/>
          <w:color w:val="000000" w:themeColor="text1"/>
          <w:sz w:val="28"/>
          <w:szCs w:val="28"/>
        </w:rPr>
        <w:t>，輔導本市農漁會信用部</w:t>
      </w:r>
      <w:r w:rsidRPr="000C2EC0">
        <w:rPr>
          <w:rFonts w:ascii="標楷體" w:eastAsia="標楷體" w:hAnsi="標楷體" w:cs="Times New Roman"/>
          <w:bCs/>
          <w:color w:val="000000" w:themeColor="text1"/>
          <w:sz w:val="28"/>
          <w:szCs w:val="28"/>
        </w:rPr>
        <w:t>提供其資金需求</w:t>
      </w:r>
      <w:r w:rsidRPr="000C2EC0">
        <w:rPr>
          <w:rFonts w:ascii="標楷體" w:eastAsia="標楷體" w:hAnsi="標楷體" w:cs="Times New Roman" w:hint="eastAsia"/>
          <w:bCs/>
          <w:color w:val="000000" w:themeColor="text1"/>
          <w:sz w:val="28"/>
          <w:szCs w:val="28"/>
        </w:rPr>
        <w:t>，109年6月底放款金額987.62億元較108年同期928.84億元增加58.78億元。</w:t>
      </w:r>
    </w:p>
    <w:p w:rsidR="00F76C62" w:rsidRPr="000C2EC0" w:rsidRDefault="00F76C62" w:rsidP="009306ED">
      <w:pPr>
        <w:kinsoku w:val="0"/>
        <w:overflowPunct w:val="0"/>
        <w:autoSpaceDE w:val="0"/>
        <w:autoSpaceDN w:val="0"/>
        <w:adjustRightInd w:val="0"/>
        <w:snapToGrid w:val="0"/>
        <w:spacing w:line="480" w:lineRule="exact"/>
        <w:ind w:leftChars="747" w:left="2269" w:hangingChars="170" w:hanging="476"/>
        <w:jc w:val="both"/>
        <w:rPr>
          <w:rFonts w:ascii="標楷體" w:eastAsia="標楷體" w:hAnsi="標楷體" w:cs="Times New Roman"/>
          <w:bCs/>
          <w:color w:val="000000" w:themeColor="text1"/>
          <w:sz w:val="28"/>
          <w:szCs w:val="28"/>
        </w:rPr>
      </w:pPr>
      <w:r w:rsidRPr="000C2EC0">
        <w:rPr>
          <w:rFonts w:ascii="標楷體" w:eastAsia="標楷體" w:hAnsi="標楷體" w:cs="Times New Roman"/>
          <w:bCs/>
          <w:color w:val="000000" w:themeColor="text1"/>
          <w:sz w:val="28"/>
          <w:szCs w:val="28"/>
        </w:rPr>
        <w:t>(2)</w:t>
      </w:r>
      <w:r w:rsidRPr="000C2EC0">
        <w:rPr>
          <w:rFonts w:ascii="標楷體" w:eastAsia="標楷體" w:hAnsi="標楷體" w:cs="Times New Roman" w:hint="eastAsia"/>
          <w:bCs/>
          <w:color w:val="000000" w:themeColor="text1"/>
          <w:sz w:val="28"/>
          <w:szCs w:val="28"/>
        </w:rPr>
        <w:t>積極輔導農漁會信用部改善財務業務狀況，加強內部控制，強健經營體質、維護存戶權益，並持續督導辦理不良放款之催理。截至109年6月30日止逾放情形較108年同期</w:t>
      </w:r>
      <w:r w:rsidRPr="000C2EC0">
        <w:rPr>
          <w:rFonts w:ascii="標楷體" w:eastAsia="標楷體" w:hAnsi="標楷體" w:cs="Times New Roman" w:hint="eastAsia"/>
          <w:bCs/>
          <w:color w:val="000000" w:themeColor="text1"/>
          <w:sz w:val="28"/>
          <w:szCs w:val="28"/>
        </w:rPr>
        <w:lastRenderedPageBreak/>
        <w:t>合計減少1.92億元，逾放情形已持續改善。</w:t>
      </w:r>
    </w:p>
    <w:p w:rsidR="00F76C62" w:rsidRPr="000C2EC0" w:rsidRDefault="00F76C62" w:rsidP="009306ED">
      <w:pPr>
        <w:kinsoku w:val="0"/>
        <w:overflowPunct w:val="0"/>
        <w:autoSpaceDE w:val="0"/>
        <w:autoSpaceDN w:val="0"/>
        <w:adjustRightInd w:val="0"/>
        <w:snapToGrid w:val="0"/>
        <w:spacing w:line="480" w:lineRule="exact"/>
        <w:ind w:leftChars="741" w:left="2268" w:hangingChars="175" w:hanging="490"/>
        <w:jc w:val="both"/>
        <w:rPr>
          <w:rFonts w:ascii="標楷體" w:eastAsia="標楷體" w:hAnsi="標楷體" w:cs="Times New Roman"/>
          <w:bCs/>
          <w:color w:val="000000" w:themeColor="text1"/>
          <w:sz w:val="28"/>
          <w:szCs w:val="28"/>
        </w:rPr>
      </w:pPr>
      <w:r w:rsidRPr="000C2EC0">
        <w:rPr>
          <w:rFonts w:ascii="標楷體" w:eastAsia="標楷體" w:hAnsi="標楷體" w:cs="Times New Roman"/>
          <w:bCs/>
          <w:color w:val="000000" w:themeColor="text1"/>
          <w:sz w:val="28"/>
          <w:szCs w:val="28"/>
        </w:rPr>
        <w:t>(</w:t>
      </w:r>
      <w:r w:rsidRPr="000C2EC0">
        <w:rPr>
          <w:rFonts w:ascii="標楷體" w:eastAsia="標楷體" w:hAnsi="標楷體" w:cs="Times New Roman" w:hint="eastAsia"/>
          <w:bCs/>
          <w:color w:val="000000" w:themeColor="text1"/>
          <w:sz w:val="28"/>
          <w:szCs w:val="28"/>
        </w:rPr>
        <w:t>3</w:t>
      </w:r>
      <w:r w:rsidRPr="000C2EC0">
        <w:rPr>
          <w:rFonts w:ascii="標楷體" w:eastAsia="標楷體" w:hAnsi="標楷體" w:cs="Times New Roman"/>
          <w:bCs/>
          <w:color w:val="000000" w:themeColor="text1"/>
          <w:sz w:val="28"/>
          <w:szCs w:val="28"/>
        </w:rPr>
        <w:t>)</w:t>
      </w:r>
      <w:r w:rsidRPr="000C2EC0">
        <w:rPr>
          <w:rFonts w:ascii="標楷體" w:eastAsia="標楷體" w:hAnsi="標楷體" w:cs="Times New Roman" w:hint="eastAsia"/>
          <w:bCs/>
          <w:color w:val="000000" w:themeColor="text1"/>
          <w:sz w:val="28"/>
          <w:szCs w:val="28"/>
        </w:rPr>
        <w:t>持續輔導受專案列管之農漁會信用部，除每月檢討逾期放款案件催理進度，另按季召開會議輔導改善，及依計畫時程積極執行，以改善經營體質，確保存戶權益。並請該等農漁會按月訂定當年度備抵呆帳提列目標，儲備風險承擔能力，強化財務結構，以因應未來景氣變動。</w:t>
      </w:r>
    </w:p>
    <w:p w:rsidR="00F76C62" w:rsidRPr="000C2EC0" w:rsidRDefault="00F76C62" w:rsidP="00656E2F">
      <w:pPr>
        <w:kinsoku w:val="0"/>
        <w:overflowPunct w:val="0"/>
        <w:autoSpaceDE w:val="0"/>
        <w:autoSpaceDN w:val="0"/>
        <w:adjustRightInd w:val="0"/>
        <w:snapToGrid w:val="0"/>
        <w:spacing w:line="480" w:lineRule="exact"/>
        <w:ind w:leftChars="591" w:left="2266" w:hangingChars="303" w:hanging="848"/>
        <w:jc w:val="both"/>
        <w:rPr>
          <w:rFonts w:ascii="標楷體" w:eastAsia="標楷體" w:hAnsi="標楷體" w:cs="Times New Roman"/>
          <w:bCs/>
          <w:color w:val="000000" w:themeColor="text1"/>
          <w:sz w:val="28"/>
          <w:szCs w:val="28"/>
        </w:rPr>
      </w:pPr>
      <w:r w:rsidRPr="000C2EC0">
        <w:rPr>
          <w:rFonts w:ascii="標楷體" w:eastAsia="標楷體" w:hAnsi="標楷體" w:cs="Times New Roman" w:hint="eastAsia"/>
          <w:bCs/>
          <w:color w:val="000000" w:themeColor="text1"/>
          <w:sz w:val="28"/>
          <w:szCs w:val="28"/>
        </w:rPr>
        <w:t>3.高雄銀行公股股權管理</w:t>
      </w:r>
    </w:p>
    <w:p w:rsidR="00F76C62" w:rsidRPr="000C2EC0" w:rsidRDefault="00F76C62" w:rsidP="00656E2F">
      <w:pPr>
        <w:tabs>
          <w:tab w:val="left" w:pos="709"/>
          <w:tab w:val="left" w:pos="851"/>
        </w:tabs>
        <w:kinsoku w:val="0"/>
        <w:overflowPunct w:val="0"/>
        <w:autoSpaceDE w:val="0"/>
        <w:autoSpaceDN w:val="0"/>
        <w:adjustRightInd w:val="0"/>
        <w:snapToGrid w:val="0"/>
        <w:spacing w:line="480" w:lineRule="exact"/>
        <w:ind w:leftChars="708" w:left="2122" w:hangingChars="151" w:hanging="42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color w:val="000000" w:themeColor="text1"/>
          <w:kern w:val="0"/>
          <w:sz w:val="28"/>
          <w:szCs w:val="28"/>
        </w:rPr>
        <w:t>(1)</w:t>
      </w:r>
      <w:r w:rsidRPr="000C2EC0">
        <w:rPr>
          <w:rFonts w:ascii="標楷體" w:eastAsia="標楷體" w:hAnsi="標楷體" w:cs="Times New Roman" w:hint="eastAsia"/>
          <w:color w:val="000000" w:themeColor="text1"/>
          <w:kern w:val="0"/>
          <w:sz w:val="28"/>
          <w:szCs w:val="28"/>
        </w:rPr>
        <w:t>市府所投資高雄銀行，108年度董事酬勞，本府公股股權代表計分配840萬餘元，已於109年6月12日發放並繳庫。</w:t>
      </w:r>
    </w:p>
    <w:p w:rsidR="00F76C62" w:rsidRPr="000C2EC0" w:rsidRDefault="00F76C62" w:rsidP="00656E2F">
      <w:pPr>
        <w:tabs>
          <w:tab w:val="left" w:pos="709"/>
          <w:tab w:val="left" w:pos="851"/>
        </w:tabs>
        <w:kinsoku w:val="0"/>
        <w:overflowPunct w:val="0"/>
        <w:autoSpaceDE w:val="0"/>
        <w:autoSpaceDN w:val="0"/>
        <w:adjustRightInd w:val="0"/>
        <w:snapToGrid w:val="0"/>
        <w:spacing w:line="480" w:lineRule="exact"/>
        <w:ind w:leftChars="708" w:left="2122" w:hangingChars="151" w:hanging="42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color w:val="000000" w:themeColor="text1"/>
          <w:kern w:val="0"/>
          <w:sz w:val="28"/>
          <w:szCs w:val="28"/>
        </w:rPr>
        <w:t>(2)</w:t>
      </w:r>
      <w:r w:rsidRPr="000C2EC0">
        <w:rPr>
          <w:rFonts w:ascii="標楷體" w:eastAsia="標楷體" w:hAnsi="標楷體" w:cs="Times New Roman" w:hint="eastAsia"/>
          <w:color w:val="000000" w:themeColor="text1"/>
          <w:kern w:val="0"/>
          <w:sz w:val="28"/>
          <w:szCs w:val="28"/>
        </w:rPr>
        <w:t>持續促請本府公股股權代表督導該行積極拓展放款業務、推展財務管理、增加無風險之手續費收入、加速催理不良債權、撙節各項費用支出及強化員工服務品質，以提升營運績效。</w:t>
      </w:r>
    </w:p>
    <w:p w:rsidR="00F76C62" w:rsidRPr="000C2EC0" w:rsidRDefault="00F76C62" w:rsidP="00656E2F">
      <w:pPr>
        <w:tabs>
          <w:tab w:val="left" w:pos="709"/>
          <w:tab w:val="left" w:pos="851"/>
        </w:tabs>
        <w:kinsoku w:val="0"/>
        <w:overflowPunct w:val="0"/>
        <w:autoSpaceDE w:val="0"/>
        <w:autoSpaceDN w:val="0"/>
        <w:adjustRightInd w:val="0"/>
        <w:snapToGrid w:val="0"/>
        <w:spacing w:line="480" w:lineRule="exact"/>
        <w:ind w:leftChars="591" w:left="2266" w:hangingChars="303" w:hanging="848"/>
        <w:jc w:val="both"/>
        <w:rPr>
          <w:rFonts w:ascii="標楷體" w:eastAsia="標楷體" w:hAnsi="標楷體" w:cs="Times New Roman"/>
          <w:bCs/>
          <w:color w:val="000000" w:themeColor="text1"/>
          <w:kern w:val="0"/>
          <w:sz w:val="28"/>
          <w:szCs w:val="28"/>
        </w:rPr>
      </w:pPr>
      <w:r w:rsidRPr="000C2EC0">
        <w:rPr>
          <w:rFonts w:ascii="標楷體" w:eastAsia="標楷體" w:hAnsi="標楷體" w:cs="Times New Roman" w:hint="eastAsia"/>
          <w:bCs/>
          <w:color w:val="000000" w:themeColor="text1"/>
          <w:kern w:val="0"/>
          <w:sz w:val="28"/>
          <w:szCs w:val="28"/>
        </w:rPr>
        <w:t>4.動產質借所管理</w:t>
      </w:r>
    </w:p>
    <w:p w:rsidR="00F76C62" w:rsidRPr="000C2EC0" w:rsidRDefault="00F76C62" w:rsidP="00656E2F">
      <w:pPr>
        <w:kinsoku w:val="0"/>
        <w:overflowPunct w:val="0"/>
        <w:autoSpaceDE w:val="0"/>
        <w:autoSpaceDN w:val="0"/>
        <w:adjustRightInd w:val="0"/>
        <w:snapToGrid w:val="0"/>
        <w:spacing w:line="480" w:lineRule="exact"/>
        <w:ind w:leftChars="708" w:left="2122" w:hangingChars="151" w:hanging="42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bCs/>
          <w:color w:val="000000" w:themeColor="text1"/>
          <w:kern w:val="0"/>
          <w:sz w:val="28"/>
          <w:szCs w:val="28"/>
        </w:rPr>
        <w:t>(1)</w:t>
      </w:r>
      <w:r w:rsidRPr="000C2EC0">
        <w:rPr>
          <w:rFonts w:ascii="標楷體" w:eastAsia="標楷體" w:hAnsi="標楷體" w:cs="Times New Roman" w:hint="eastAsia"/>
          <w:color w:val="000000" w:themeColor="text1"/>
          <w:spacing w:val="-2"/>
          <w:kern w:val="0"/>
          <w:sz w:val="28"/>
          <w:szCs w:val="28"/>
        </w:rPr>
        <w:t>督導動產質借所以低利率提供市民短期融通資金，並以服務為宗旨，依照相關法令辦理質借業務，現行質借放款利率：一般民眾為月息0.9％，設籍本市低收入戶為月息0.6%。</w:t>
      </w:r>
    </w:p>
    <w:p w:rsidR="00F76C62" w:rsidRPr="000C2EC0" w:rsidRDefault="00F76C62" w:rsidP="00656E2F">
      <w:pPr>
        <w:tabs>
          <w:tab w:val="left" w:pos="709"/>
          <w:tab w:val="left" w:pos="851"/>
        </w:tabs>
        <w:kinsoku w:val="0"/>
        <w:overflowPunct w:val="0"/>
        <w:autoSpaceDE w:val="0"/>
        <w:autoSpaceDN w:val="0"/>
        <w:adjustRightInd w:val="0"/>
        <w:snapToGrid w:val="0"/>
        <w:spacing w:line="480" w:lineRule="exact"/>
        <w:ind w:leftChars="708" w:left="2122" w:hangingChars="151" w:hanging="42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(2)截至109年6月底止，總收質人次1萬5,689人，收質件數4萬6,891件，總貸放金額為5.4億元。</w:t>
      </w:r>
    </w:p>
    <w:p w:rsidR="00A52886" w:rsidRPr="000C2EC0" w:rsidRDefault="00A52886" w:rsidP="002C7CB8">
      <w:pPr>
        <w:pStyle w:val="affffffff6"/>
        <w:spacing w:beforeLines="50" w:before="180" w:after="0" w:line="440" w:lineRule="exact"/>
        <w:jc w:val="both"/>
        <w:rPr>
          <w:rFonts w:ascii="標楷體" w:eastAsia="標楷體" w:hAnsi="標楷體"/>
          <w:color w:val="000000" w:themeColor="text1"/>
          <w:sz w:val="32"/>
          <w:szCs w:val="32"/>
        </w:rPr>
      </w:pPr>
      <w:r w:rsidRPr="000C2EC0">
        <w:rPr>
          <w:rFonts w:ascii="標楷體" w:eastAsia="標楷體" w:hAnsi="標楷體" w:hint="eastAsia"/>
          <w:color w:val="000000" w:themeColor="text1"/>
          <w:sz w:val="32"/>
          <w:szCs w:val="32"/>
        </w:rPr>
        <w:t>三、菸酒管理</w:t>
      </w:r>
    </w:p>
    <w:p w:rsidR="00C227F2" w:rsidRPr="000C2EC0" w:rsidRDefault="00C227F2" w:rsidP="002C7CB8">
      <w:pPr>
        <w:pStyle w:val="affffffff8"/>
        <w:spacing w:line="440" w:lineRule="exact"/>
        <w:ind w:leftChars="100" w:left="240"/>
        <w:jc w:val="both"/>
        <w:rPr>
          <w:b w:val="0"/>
          <w:color w:val="000000" w:themeColor="text1"/>
        </w:rPr>
      </w:pPr>
      <w:r w:rsidRPr="000C2EC0">
        <w:rPr>
          <w:rFonts w:hint="eastAsia"/>
          <w:b w:val="0"/>
          <w:color w:val="000000" w:themeColor="text1"/>
        </w:rPr>
        <w:t>（一）菸酒查緝情形</w:t>
      </w:r>
    </w:p>
    <w:p w:rsidR="00C227F2" w:rsidRPr="000C2EC0" w:rsidRDefault="00BE7585" w:rsidP="00BE7585">
      <w:pPr>
        <w:adjustRightInd w:val="0"/>
        <w:snapToGrid w:val="0"/>
        <w:spacing w:line="460" w:lineRule="exact"/>
        <w:ind w:leftChars="355" w:left="1278" w:hangingChars="152" w:hanging="426"/>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w:t>
      </w:r>
      <w:r w:rsidR="00C227F2" w:rsidRPr="000C2EC0">
        <w:rPr>
          <w:rFonts w:ascii="標楷體" w:eastAsia="標楷體" w:hAnsi="標楷體" w:cs="超研澤粗黑" w:hint="eastAsia"/>
          <w:color w:val="000000" w:themeColor="text1"/>
          <w:sz w:val="28"/>
          <w:szCs w:val="28"/>
        </w:rPr>
        <w:t>1.</w:t>
      </w:r>
      <w:r w:rsidR="00C227F2" w:rsidRPr="000C2EC0">
        <w:rPr>
          <w:rFonts w:ascii="標楷體" w:eastAsia="標楷體" w:hAnsi="標楷體" w:cs="超研澤粗黑"/>
          <w:color w:val="000000" w:themeColor="text1"/>
          <w:sz w:val="28"/>
          <w:szCs w:val="28"/>
        </w:rPr>
        <w:t>依109</w:t>
      </w:r>
      <w:r w:rsidR="00C227F2" w:rsidRPr="000C2EC0">
        <w:rPr>
          <w:rFonts w:ascii="標楷體" w:eastAsia="標楷體" w:hAnsi="標楷體" w:cs="超研澤粗黑" w:hint="eastAsia"/>
          <w:color w:val="000000" w:themeColor="text1"/>
          <w:sz w:val="28"/>
          <w:szCs w:val="28"/>
        </w:rPr>
        <w:t>年度</w:t>
      </w:r>
      <w:r w:rsidR="00C227F2" w:rsidRPr="000C2EC0">
        <w:rPr>
          <w:rFonts w:ascii="標楷體" w:eastAsia="標楷體" w:hAnsi="標楷體" w:cs="超研澤粗黑"/>
          <w:color w:val="000000" w:themeColor="text1"/>
          <w:sz w:val="28"/>
          <w:szCs w:val="28"/>
        </w:rPr>
        <w:t>菸酒查緝抽查計畫，應抽查菸酒製造業、進口業、批發買賣業、販賣或使用未變性酒精業者</w:t>
      </w:r>
      <w:r w:rsidR="00C227F2" w:rsidRPr="000C2EC0">
        <w:rPr>
          <w:rFonts w:ascii="標楷體" w:eastAsia="標楷體" w:hAnsi="標楷體" w:cs="超研澤粗黑" w:hint="eastAsia"/>
          <w:color w:val="000000" w:themeColor="text1"/>
          <w:sz w:val="28"/>
          <w:szCs w:val="28"/>
        </w:rPr>
        <w:t>共</w:t>
      </w:r>
      <w:r w:rsidR="00C227F2" w:rsidRPr="000C2EC0">
        <w:rPr>
          <w:rFonts w:ascii="標楷體" w:eastAsia="標楷體" w:hAnsi="標楷體" w:cs="超研澤粗黑"/>
          <w:color w:val="000000" w:themeColor="text1"/>
          <w:sz w:val="28"/>
          <w:szCs w:val="28"/>
        </w:rPr>
        <w:t>480</w:t>
      </w:r>
      <w:r w:rsidR="00C227F2" w:rsidRPr="000C2EC0">
        <w:rPr>
          <w:rFonts w:ascii="標楷體" w:eastAsia="標楷體" w:hAnsi="標楷體" w:cs="超研澤粗黑" w:hint="eastAsia"/>
          <w:color w:val="000000" w:themeColor="text1"/>
          <w:sz w:val="28"/>
          <w:szCs w:val="28"/>
        </w:rPr>
        <w:t>家，截至6月30</w:t>
      </w:r>
      <w:r w:rsidR="00F76C62" w:rsidRPr="000C2EC0">
        <w:rPr>
          <w:rFonts w:ascii="標楷體" w:eastAsia="標楷體" w:hAnsi="標楷體" w:cs="超研澤粗黑" w:hint="eastAsia"/>
          <w:color w:val="000000" w:themeColor="text1"/>
          <w:sz w:val="28"/>
          <w:szCs w:val="28"/>
        </w:rPr>
        <w:t>日止共抽檢業者</w:t>
      </w:r>
      <w:r w:rsidR="00F76C62" w:rsidRPr="000C2EC0">
        <w:rPr>
          <w:rFonts w:ascii="標楷體" w:eastAsia="標楷體" w:hAnsi="標楷體" w:cs="超研澤粗黑"/>
          <w:color w:val="000000" w:themeColor="text1"/>
          <w:sz w:val="28"/>
          <w:szCs w:val="28"/>
        </w:rPr>
        <w:t>443</w:t>
      </w:r>
      <w:r w:rsidR="00F76C62" w:rsidRPr="000C2EC0">
        <w:rPr>
          <w:rFonts w:ascii="標楷體" w:eastAsia="標楷體" w:hAnsi="標楷體" w:cs="超研澤粗黑" w:hint="eastAsia"/>
          <w:color w:val="000000" w:themeColor="text1"/>
          <w:sz w:val="28"/>
          <w:szCs w:val="28"/>
        </w:rPr>
        <w:t>家，執行率</w:t>
      </w:r>
      <w:r w:rsidR="00F76C62" w:rsidRPr="000C2EC0">
        <w:rPr>
          <w:rFonts w:ascii="標楷體" w:eastAsia="標楷體" w:hAnsi="標楷體" w:cs="超研澤粗黑"/>
          <w:color w:val="000000" w:themeColor="text1"/>
          <w:sz w:val="28"/>
          <w:szCs w:val="28"/>
        </w:rPr>
        <w:t>92</w:t>
      </w:r>
      <w:r w:rsidR="00F76C62" w:rsidRPr="000C2EC0">
        <w:rPr>
          <w:rFonts w:ascii="標楷體" w:eastAsia="標楷體" w:hAnsi="標楷體" w:cs="超研澤粗黑" w:hint="eastAsia"/>
          <w:color w:val="000000" w:themeColor="text1"/>
          <w:sz w:val="28"/>
          <w:szCs w:val="28"/>
        </w:rPr>
        <w:t>％。</w:t>
      </w:r>
    </w:p>
    <w:p w:rsidR="00C227F2" w:rsidRPr="000C2EC0" w:rsidRDefault="00BE7585" w:rsidP="00BE7585">
      <w:pPr>
        <w:tabs>
          <w:tab w:val="left" w:pos="1418"/>
        </w:tabs>
        <w:adjustRightInd w:val="0"/>
        <w:snapToGrid w:val="0"/>
        <w:spacing w:line="460" w:lineRule="exact"/>
        <w:ind w:leftChars="355" w:left="1278" w:hangingChars="152" w:hanging="426"/>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w:t>
      </w:r>
      <w:r w:rsidR="00C227F2" w:rsidRPr="000C2EC0">
        <w:rPr>
          <w:rFonts w:ascii="標楷體" w:eastAsia="標楷體" w:hAnsi="標楷體" w:cs="超研澤粗黑" w:hint="eastAsia"/>
          <w:color w:val="000000" w:themeColor="text1"/>
          <w:sz w:val="28"/>
          <w:szCs w:val="28"/>
        </w:rPr>
        <w:t>2.</w:t>
      </w:r>
      <w:r w:rsidR="00C227F2" w:rsidRPr="000C2EC0">
        <w:rPr>
          <w:rFonts w:ascii="標楷體" w:eastAsia="標楷體" w:hAnsi="標楷體" w:cs="超研澤粗黑"/>
          <w:color w:val="000000" w:themeColor="text1"/>
          <w:sz w:val="28"/>
          <w:szCs w:val="28"/>
        </w:rPr>
        <w:t>109</w:t>
      </w:r>
      <w:r w:rsidR="00C227F2" w:rsidRPr="000C2EC0">
        <w:rPr>
          <w:rFonts w:ascii="標楷體" w:eastAsia="標楷體" w:hAnsi="標楷體" w:cs="超研澤粗黑" w:hint="eastAsia"/>
          <w:color w:val="000000" w:themeColor="text1"/>
          <w:sz w:val="28"/>
          <w:szCs w:val="28"/>
        </w:rPr>
        <w:t>年查獲涉嫌違反菸酒管理法案件截至</w:t>
      </w:r>
      <w:smartTag w:uri="urn:schemas-microsoft-com:office:smarttags" w:element="chsdate">
        <w:smartTagPr>
          <w:attr w:name="Year" w:val="2015"/>
          <w:attr w:name="Month" w:val="6"/>
          <w:attr w:name="Day" w:val="30"/>
          <w:attr w:name="IsLunarDate" w:val="False"/>
          <w:attr w:name="IsROCDate" w:val="False"/>
        </w:smartTagPr>
        <w:r w:rsidR="00C227F2" w:rsidRPr="000C2EC0">
          <w:rPr>
            <w:rFonts w:ascii="標楷體" w:eastAsia="標楷體" w:hAnsi="標楷體" w:cs="超研澤粗黑" w:hint="eastAsia"/>
            <w:color w:val="000000" w:themeColor="text1"/>
            <w:sz w:val="28"/>
            <w:szCs w:val="28"/>
          </w:rPr>
          <w:t>6月30日</w:t>
        </w:r>
      </w:smartTag>
      <w:r w:rsidR="00C227F2" w:rsidRPr="000C2EC0">
        <w:rPr>
          <w:rFonts w:ascii="標楷體" w:eastAsia="標楷體" w:hAnsi="標楷體" w:cs="超研澤粗黑" w:hint="eastAsia"/>
          <w:color w:val="000000" w:themeColor="text1"/>
          <w:sz w:val="28"/>
          <w:szCs w:val="28"/>
        </w:rPr>
        <w:t>共3</w:t>
      </w:r>
      <w:r w:rsidR="00C227F2" w:rsidRPr="000C2EC0">
        <w:rPr>
          <w:rFonts w:ascii="標楷體" w:eastAsia="標楷體" w:hAnsi="標楷體" w:cs="超研澤粗黑"/>
          <w:color w:val="000000" w:themeColor="text1"/>
          <w:sz w:val="28"/>
          <w:szCs w:val="28"/>
        </w:rPr>
        <w:t>30</w:t>
      </w:r>
      <w:r w:rsidR="00C227F2" w:rsidRPr="000C2EC0">
        <w:rPr>
          <w:rFonts w:ascii="標楷體" w:eastAsia="標楷體" w:hAnsi="標楷體" w:cs="超研澤粗黑" w:hint="eastAsia"/>
          <w:color w:val="000000" w:themeColor="text1"/>
          <w:sz w:val="28"/>
          <w:szCs w:val="28"/>
        </w:rPr>
        <w:t>件，查獲違規菸品累計為3</w:t>
      </w:r>
      <w:r w:rsidR="00C227F2" w:rsidRPr="000C2EC0">
        <w:rPr>
          <w:rFonts w:ascii="標楷體" w:eastAsia="標楷體" w:hAnsi="標楷體" w:cs="超研澤粗黑"/>
          <w:color w:val="000000" w:themeColor="text1"/>
          <w:sz w:val="28"/>
          <w:szCs w:val="28"/>
        </w:rPr>
        <w:t>34</w:t>
      </w:r>
      <w:r w:rsidR="00C227F2" w:rsidRPr="000C2EC0">
        <w:rPr>
          <w:rFonts w:ascii="標楷體" w:eastAsia="標楷體" w:hAnsi="標楷體" w:cs="超研澤粗黑" w:hint="eastAsia"/>
          <w:color w:val="000000" w:themeColor="text1"/>
          <w:sz w:val="28"/>
          <w:szCs w:val="28"/>
        </w:rPr>
        <w:t>萬5</w:t>
      </w:r>
      <w:r w:rsidR="00C227F2" w:rsidRPr="000C2EC0">
        <w:rPr>
          <w:rFonts w:ascii="標楷體" w:eastAsia="標楷體" w:hAnsi="標楷體" w:cs="超研澤粗黑"/>
          <w:color w:val="000000" w:themeColor="text1"/>
          <w:sz w:val="28"/>
          <w:szCs w:val="28"/>
        </w:rPr>
        <w:t>,270</w:t>
      </w:r>
      <w:r w:rsidR="00C227F2" w:rsidRPr="000C2EC0">
        <w:rPr>
          <w:rFonts w:ascii="標楷體" w:eastAsia="標楷體" w:hAnsi="標楷體" w:cs="超研澤粗黑" w:hint="eastAsia"/>
          <w:color w:val="000000" w:themeColor="text1"/>
          <w:sz w:val="28"/>
          <w:szCs w:val="28"/>
        </w:rPr>
        <w:t>包，市值為2億5</w:t>
      </w:r>
      <w:r w:rsidR="00C227F2" w:rsidRPr="000C2EC0">
        <w:rPr>
          <w:rFonts w:ascii="標楷體" w:eastAsia="標楷體" w:hAnsi="標楷體" w:cs="超研澤粗黑"/>
          <w:color w:val="000000" w:themeColor="text1"/>
          <w:sz w:val="28"/>
          <w:szCs w:val="28"/>
        </w:rPr>
        <w:t>,203</w:t>
      </w:r>
      <w:r w:rsidR="00C227F2" w:rsidRPr="000C2EC0">
        <w:rPr>
          <w:rFonts w:ascii="標楷體" w:eastAsia="標楷體" w:hAnsi="標楷體" w:cs="超研澤粗黑" w:hint="eastAsia"/>
          <w:color w:val="000000" w:themeColor="text1"/>
          <w:sz w:val="28"/>
          <w:szCs w:val="28"/>
        </w:rPr>
        <w:t>萬2</w:t>
      </w:r>
      <w:r w:rsidR="00C227F2" w:rsidRPr="000C2EC0">
        <w:rPr>
          <w:rFonts w:ascii="標楷體" w:eastAsia="標楷體" w:hAnsi="標楷體" w:cs="超研澤粗黑"/>
          <w:color w:val="000000" w:themeColor="text1"/>
          <w:sz w:val="28"/>
          <w:szCs w:val="28"/>
        </w:rPr>
        <w:t>,158</w:t>
      </w:r>
      <w:r w:rsidR="00C227F2" w:rsidRPr="000C2EC0">
        <w:rPr>
          <w:rFonts w:ascii="標楷體" w:eastAsia="標楷體" w:hAnsi="標楷體" w:cs="超研澤粗黑" w:hint="eastAsia"/>
          <w:color w:val="000000" w:themeColor="text1"/>
          <w:sz w:val="28"/>
          <w:szCs w:val="28"/>
        </w:rPr>
        <w:t>元；查獲違規酒品累計為1</w:t>
      </w:r>
      <w:r w:rsidR="00C227F2" w:rsidRPr="000C2EC0">
        <w:rPr>
          <w:rFonts w:ascii="標楷體" w:eastAsia="標楷體" w:hAnsi="標楷體" w:cs="超研澤粗黑"/>
          <w:color w:val="000000" w:themeColor="text1"/>
          <w:sz w:val="28"/>
          <w:szCs w:val="28"/>
        </w:rPr>
        <w:t>4</w:t>
      </w:r>
      <w:r w:rsidR="00C227F2" w:rsidRPr="000C2EC0">
        <w:rPr>
          <w:rFonts w:ascii="標楷體" w:eastAsia="標楷體" w:hAnsi="標楷體" w:cs="超研澤粗黑" w:hint="eastAsia"/>
          <w:color w:val="000000" w:themeColor="text1"/>
          <w:sz w:val="28"/>
          <w:szCs w:val="28"/>
        </w:rPr>
        <w:t>萬5</w:t>
      </w:r>
      <w:r w:rsidR="00C227F2" w:rsidRPr="000C2EC0">
        <w:rPr>
          <w:rFonts w:ascii="標楷體" w:eastAsia="標楷體" w:hAnsi="標楷體" w:cs="超研澤粗黑"/>
          <w:color w:val="000000" w:themeColor="text1"/>
          <w:sz w:val="28"/>
          <w:szCs w:val="28"/>
        </w:rPr>
        <w:t>,250</w:t>
      </w:r>
      <w:r w:rsidR="00C227F2" w:rsidRPr="000C2EC0">
        <w:rPr>
          <w:rFonts w:ascii="標楷體" w:eastAsia="標楷體" w:hAnsi="標楷體" w:cs="超研澤粗黑" w:hint="eastAsia"/>
          <w:color w:val="000000" w:themeColor="text1"/>
          <w:sz w:val="28"/>
          <w:szCs w:val="28"/>
        </w:rPr>
        <w:t>公升，市值為1</w:t>
      </w:r>
      <w:r w:rsidR="00C227F2" w:rsidRPr="000C2EC0">
        <w:rPr>
          <w:rFonts w:ascii="標楷體" w:eastAsia="標楷體" w:hAnsi="標楷體" w:cs="超研澤粗黑"/>
          <w:color w:val="000000" w:themeColor="text1"/>
          <w:sz w:val="28"/>
          <w:szCs w:val="28"/>
        </w:rPr>
        <w:t>,195</w:t>
      </w:r>
      <w:r w:rsidR="00C227F2" w:rsidRPr="000C2EC0">
        <w:rPr>
          <w:rFonts w:ascii="標楷體" w:eastAsia="標楷體" w:hAnsi="標楷體" w:cs="超研澤粗黑" w:hint="eastAsia"/>
          <w:color w:val="000000" w:themeColor="text1"/>
          <w:sz w:val="28"/>
          <w:szCs w:val="28"/>
        </w:rPr>
        <w:t>萬4,</w:t>
      </w:r>
      <w:r w:rsidR="00C227F2" w:rsidRPr="000C2EC0">
        <w:rPr>
          <w:rFonts w:ascii="標楷體" w:eastAsia="標楷體" w:hAnsi="標楷體" w:cs="超研澤粗黑"/>
          <w:color w:val="000000" w:themeColor="text1"/>
          <w:sz w:val="28"/>
          <w:szCs w:val="28"/>
        </w:rPr>
        <w:t>134</w:t>
      </w:r>
      <w:r w:rsidR="00C227F2" w:rsidRPr="000C2EC0">
        <w:rPr>
          <w:rFonts w:ascii="標楷體" w:eastAsia="標楷體" w:hAnsi="標楷體" w:cs="超研澤粗黑" w:hint="eastAsia"/>
          <w:color w:val="000000" w:themeColor="text1"/>
          <w:sz w:val="28"/>
          <w:szCs w:val="28"/>
        </w:rPr>
        <w:t>元。</w:t>
      </w:r>
    </w:p>
    <w:p w:rsidR="00C227F2" w:rsidRPr="000C2EC0" w:rsidRDefault="00C227F2" w:rsidP="002C7CB8">
      <w:pPr>
        <w:pStyle w:val="affffffff8"/>
        <w:spacing w:line="440" w:lineRule="exact"/>
        <w:ind w:leftChars="100" w:left="240"/>
        <w:jc w:val="both"/>
        <w:rPr>
          <w:b w:val="0"/>
          <w:color w:val="000000" w:themeColor="text1"/>
        </w:rPr>
      </w:pPr>
      <w:r w:rsidRPr="000C2EC0">
        <w:rPr>
          <w:rFonts w:hint="eastAsia"/>
          <w:b w:val="0"/>
          <w:color w:val="000000" w:themeColor="text1"/>
        </w:rPr>
        <w:lastRenderedPageBreak/>
        <w:t>（二）菸酒專案查緝績效</w:t>
      </w:r>
    </w:p>
    <w:p w:rsidR="00C227F2" w:rsidRPr="000C2EC0" w:rsidRDefault="00BE7585" w:rsidP="00BE7585">
      <w:pPr>
        <w:adjustRightInd w:val="0"/>
        <w:snapToGrid w:val="0"/>
        <w:spacing w:line="460" w:lineRule="exact"/>
        <w:ind w:leftChars="355" w:left="1278" w:hangingChars="152" w:hanging="426"/>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w:t>
      </w:r>
      <w:r w:rsidR="00C227F2" w:rsidRPr="000C2EC0">
        <w:rPr>
          <w:rFonts w:ascii="標楷體" w:eastAsia="標楷體" w:hAnsi="標楷體" w:cs="超研澤粗黑" w:hint="eastAsia"/>
          <w:color w:val="000000" w:themeColor="text1"/>
          <w:sz w:val="28"/>
          <w:szCs w:val="28"/>
        </w:rPr>
        <w:t>1.配合財政部</w:t>
      </w:r>
      <w:r w:rsidR="00C227F2" w:rsidRPr="000C2EC0">
        <w:rPr>
          <w:rFonts w:ascii="標楷體" w:eastAsia="標楷體" w:hAnsi="標楷體" w:cs="超研澤粗黑"/>
          <w:color w:val="000000" w:themeColor="text1"/>
          <w:sz w:val="28"/>
          <w:szCs w:val="28"/>
        </w:rPr>
        <w:t>109</w:t>
      </w:r>
      <w:r w:rsidR="00C227F2" w:rsidRPr="000C2EC0">
        <w:rPr>
          <w:rFonts w:ascii="標楷體" w:eastAsia="標楷體" w:hAnsi="標楷體" w:cs="超研澤粗黑" w:hint="eastAsia"/>
          <w:color w:val="000000" w:themeColor="text1"/>
          <w:sz w:val="28"/>
          <w:szCs w:val="28"/>
        </w:rPr>
        <w:t>年春節前全國同步查緝私劣菸酒專案，經評定查獲私劣菸品績效為全國第3名；查獲私劣酒品績效為全國第3名。</w:t>
      </w:r>
    </w:p>
    <w:p w:rsidR="00C227F2" w:rsidRPr="000C2EC0" w:rsidRDefault="00C227F2" w:rsidP="00BE7585">
      <w:pPr>
        <w:adjustRightInd w:val="0"/>
        <w:snapToGrid w:val="0"/>
        <w:spacing w:line="460" w:lineRule="exact"/>
        <w:ind w:leftChars="415" w:left="1276"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2.配合財政部</w:t>
      </w:r>
      <w:r w:rsidRPr="000C2EC0">
        <w:rPr>
          <w:rFonts w:ascii="標楷體" w:eastAsia="標楷體" w:hAnsi="標楷體" w:cs="超研澤粗黑"/>
          <w:color w:val="000000" w:themeColor="text1"/>
          <w:sz w:val="28"/>
          <w:szCs w:val="28"/>
        </w:rPr>
        <w:t>109</w:t>
      </w:r>
      <w:r w:rsidRPr="000C2EC0">
        <w:rPr>
          <w:rFonts w:ascii="標楷體" w:eastAsia="標楷體" w:hAnsi="標楷體" w:cs="超研澤粗黑" w:hint="eastAsia"/>
          <w:color w:val="000000" w:themeColor="text1"/>
          <w:sz w:val="28"/>
          <w:szCs w:val="28"/>
        </w:rPr>
        <w:t>年第1次不定期全國同步查緝私劣菸酒專案，經評定查獲私劣酒品績效為全國第</w:t>
      </w:r>
      <w:r w:rsidRPr="000C2EC0">
        <w:rPr>
          <w:rFonts w:ascii="標楷體" w:eastAsia="標楷體" w:hAnsi="標楷體" w:cs="超研澤粗黑"/>
          <w:color w:val="000000" w:themeColor="text1"/>
          <w:sz w:val="28"/>
          <w:szCs w:val="28"/>
        </w:rPr>
        <w:t>2</w:t>
      </w:r>
      <w:r w:rsidRPr="000C2EC0">
        <w:rPr>
          <w:rFonts w:ascii="標楷體" w:eastAsia="標楷體" w:hAnsi="標楷體" w:cs="超研澤粗黑" w:hint="eastAsia"/>
          <w:color w:val="000000" w:themeColor="text1"/>
          <w:sz w:val="28"/>
          <w:szCs w:val="28"/>
        </w:rPr>
        <w:t>名。</w:t>
      </w:r>
    </w:p>
    <w:p w:rsidR="00F76C62" w:rsidRPr="000C2EC0" w:rsidRDefault="00F76C62" w:rsidP="00F76C62">
      <w:pPr>
        <w:adjustRightInd w:val="0"/>
        <w:snapToGrid w:val="0"/>
        <w:spacing w:line="460" w:lineRule="exact"/>
        <w:ind w:leftChars="415" w:left="1276"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3.配合財政部</w:t>
      </w:r>
      <w:r w:rsidRPr="000C2EC0">
        <w:rPr>
          <w:rFonts w:ascii="標楷體" w:eastAsia="標楷體" w:hAnsi="標楷體" w:cs="超研澤粗黑"/>
          <w:color w:val="000000" w:themeColor="text1"/>
          <w:sz w:val="28"/>
          <w:szCs w:val="28"/>
        </w:rPr>
        <w:t>109</w:t>
      </w:r>
      <w:r w:rsidRPr="000C2EC0">
        <w:rPr>
          <w:rFonts w:ascii="標楷體" w:eastAsia="標楷體" w:hAnsi="標楷體" w:cs="超研澤粗黑" w:hint="eastAsia"/>
          <w:color w:val="000000" w:themeColor="text1"/>
          <w:sz w:val="28"/>
          <w:szCs w:val="28"/>
        </w:rPr>
        <w:t>年端午節前全國同步查緝私劣菸酒專案，經評定查獲私劣菸品績效為全國第1名；查獲私劣酒品績效為全國第2名。</w:t>
      </w:r>
    </w:p>
    <w:p w:rsidR="00C227F2" w:rsidRPr="000C2EC0" w:rsidRDefault="00C227F2" w:rsidP="002C7CB8">
      <w:pPr>
        <w:pStyle w:val="affffffff8"/>
        <w:spacing w:line="440" w:lineRule="exact"/>
        <w:ind w:leftChars="100" w:left="240"/>
        <w:jc w:val="both"/>
        <w:rPr>
          <w:b w:val="0"/>
          <w:color w:val="000000" w:themeColor="text1"/>
        </w:rPr>
      </w:pPr>
      <w:r w:rsidRPr="000C2EC0">
        <w:rPr>
          <w:rFonts w:hint="eastAsia"/>
          <w:b w:val="0"/>
          <w:color w:val="000000" w:themeColor="text1"/>
        </w:rPr>
        <w:t>（三）菸酒管理宣導</w:t>
      </w:r>
    </w:p>
    <w:p w:rsidR="00C227F2" w:rsidRPr="000C2EC0" w:rsidRDefault="00C227F2" w:rsidP="00545C82">
      <w:pPr>
        <w:adjustRightInd w:val="0"/>
        <w:snapToGrid w:val="0"/>
        <w:spacing w:line="440" w:lineRule="exact"/>
        <w:ind w:leftChars="472" w:left="1133" w:firstLine="1"/>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因受新冠肺炎疫情影響，各類活動為配合防疫措施因此暫緩或停辦，為積極宣導菸酒法令，擴大宣導面向，持續以靜態方式執行宣導工作，茲說明如下:</w:t>
      </w:r>
    </w:p>
    <w:p w:rsidR="00C227F2" w:rsidRPr="000C2EC0" w:rsidRDefault="00C227F2" w:rsidP="00545C82">
      <w:pPr>
        <w:adjustRightInd w:val="0"/>
        <w:snapToGrid w:val="0"/>
        <w:spacing w:line="440" w:lineRule="exact"/>
        <w:ind w:leftChars="354" w:left="1133" w:hangingChars="101" w:hanging="283"/>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1.透過各大報章雜誌宣導不得以自動販賣機、郵購、電子購物等方式販賣或轉讓菸酒品等相關菸酒法令。</w:t>
      </w:r>
    </w:p>
    <w:p w:rsidR="00C227F2" w:rsidRPr="000C2EC0" w:rsidRDefault="00C227F2" w:rsidP="00545C82">
      <w:pPr>
        <w:adjustRightInd w:val="0"/>
        <w:snapToGrid w:val="0"/>
        <w:spacing w:line="440" w:lineRule="exact"/>
        <w:ind w:leftChars="354" w:left="113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color w:val="000000" w:themeColor="text1"/>
          <w:sz w:val="28"/>
          <w:szCs w:val="28"/>
        </w:rPr>
        <w:t>2.</w:t>
      </w:r>
      <w:r w:rsidRPr="000C2EC0">
        <w:rPr>
          <w:rFonts w:ascii="標楷體" w:eastAsia="標楷體" w:hAnsi="標楷體" w:cs="超研澤粗黑" w:hint="eastAsia"/>
          <w:color w:val="000000" w:themeColor="text1"/>
          <w:sz w:val="28"/>
          <w:szCs w:val="28"/>
        </w:rPr>
        <w:t>委託廣播電台製播菸酒法令宣導內容，針對不同族群呼籲民眾勿購買來路不明菸酒品及網路不得販售菸酒品等相關菸酒法令，提昇民眾對菸酒常識的認知。</w:t>
      </w:r>
    </w:p>
    <w:p w:rsidR="00C227F2" w:rsidRPr="000C2EC0" w:rsidRDefault="00C227F2" w:rsidP="00545C82">
      <w:pPr>
        <w:adjustRightInd w:val="0"/>
        <w:snapToGrid w:val="0"/>
        <w:spacing w:line="440" w:lineRule="exact"/>
        <w:ind w:leftChars="354" w:left="113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3</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結合本府交通局利用本市公車候車亭製作15座廣告宣導看板，強化民眾對菸酒法令認知並配合財政部宣導最新菸酒法令。</w:t>
      </w:r>
    </w:p>
    <w:p w:rsidR="00C227F2" w:rsidRPr="000C2EC0" w:rsidRDefault="00C227F2" w:rsidP="00545C82">
      <w:pPr>
        <w:adjustRightInd w:val="0"/>
        <w:snapToGrid w:val="0"/>
        <w:spacing w:line="440" w:lineRule="exact"/>
        <w:ind w:leftChars="354" w:left="1133" w:hangingChars="101" w:hanging="283"/>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4</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利用本市各線客運及公車刊登車體廣告，強化宣導菸酒法令及正確菸酒消費知識。</w:t>
      </w:r>
    </w:p>
    <w:p w:rsidR="00C227F2" w:rsidRPr="000C2EC0" w:rsidRDefault="00C227F2" w:rsidP="00545C82">
      <w:pPr>
        <w:adjustRightInd w:val="0"/>
        <w:snapToGrid w:val="0"/>
        <w:spacing w:line="440" w:lineRule="exact"/>
        <w:ind w:leftChars="354" w:left="113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5</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委外印製海報函送本市稅捐稽徵處(含分處)、動產質借所、各區公所、里活動中心、戶政所、地政所、衛生所、監理所、大型醫院、大專院校及漁農會等基層單位張貼宣導，共計寄出約360份。</w:t>
      </w:r>
    </w:p>
    <w:p w:rsidR="00C227F2" w:rsidRPr="000C2EC0" w:rsidRDefault="00C227F2" w:rsidP="00545C82">
      <w:pPr>
        <w:adjustRightInd w:val="0"/>
        <w:snapToGrid w:val="0"/>
        <w:spacing w:line="440" w:lineRule="exact"/>
        <w:ind w:leftChars="354" w:left="113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6</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為維護市民健康及權益，利用本府四維行政中心所設置之市政資訊導覽機播放菸酒法令宣導短片，以加強民眾對菸酒法令的基本常識。</w:t>
      </w:r>
    </w:p>
    <w:p w:rsidR="00C227F2" w:rsidRDefault="00C227F2" w:rsidP="002C7CB8">
      <w:pPr>
        <w:adjustRightInd w:val="0"/>
        <w:snapToGrid w:val="0"/>
        <w:spacing w:line="460" w:lineRule="exact"/>
        <w:ind w:leftChars="354" w:left="1130" w:hangingChars="100" w:hanging="28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7</w:t>
      </w:r>
      <w:r w:rsidRPr="000C2EC0">
        <w:rPr>
          <w:rFonts w:ascii="標楷體" w:eastAsia="標楷體" w:hAnsi="標楷體" w:cs="超研澤粗黑"/>
          <w:color w:val="000000" w:themeColor="text1"/>
          <w:sz w:val="28"/>
          <w:szCs w:val="28"/>
        </w:rPr>
        <w:t>.</w:t>
      </w:r>
      <w:r w:rsidRPr="000C2EC0">
        <w:rPr>
          <w:rFonts w:ascii="標楷體" w:eastAsia="標楷體" w:hAnsi="標楷體" w:cs="超研澤粗黑" w:hint="eastAsia"/>
          <w:color w:val="000000" w:themeColor="text1"/>
          <w:sz w:val="28"/>
          <w:szCs w:val="28"/>
        </w:rPr>
        <w:t>為提昇民眾對菸酒法令的認知，製作宣導立牌及摺頁分別置放於本府財政局所屬稅捐處暨分處及動產質借所，向往來洽公民眾宣導，以擴大宣導效益。</w:t>
      </w:r>
    </w:p>
    <w:p w:rsidR="002271E0" w:rsidRPr="002271E0" w:rsidRDefault="002271E0" w:rsidP="002C7CB8">
      <w:pPr>
        <w:adjustRightInd w:val="0"/>
        <w:snapToGrid w:val="0"/>
        <w:spacing w:line="460" w:lineRule="exact"/>
        <w:ind w:leftChars="354" w:left="1130" w:hangingChars="100" w:hanging="280"/>
        <w:jc w:val="both"/>
        <w:rPr>
          <w:rFonts w:ascii="標楷體" w:eastAsia="標楷體" w:hAnsi="標楷體" w:cs="超研澤粗黑"/>
          <w:color w:val="000000" w:themeColor="text1"/>
          <w:sz w:val="28"/>
          <w:szCs w:val="28"/>
        </w:rPr>
      </w:pPr>
    </w:p>
    <w:p w:rsidR="00C227F2" w:rsidRPr="000C2EC0" w:rsidRDefault="00C227F2" w:rsidP="002C7CB8">
      <w:pPr>
        <w:pStyle w:val="affffffff8"/>
        <w:spacing w:line="440" w:lineRule="exact"/>
        <w:ind w:leftChars="100" w:left="240"/>
        <w:jc w:val="both"/>
        <w:rPr>
          <w:b w:val="0"/>
          <w:color w:val="000000" w:themeColor="text1"/>
        </w:rPr>
      </w:pPr>
      <w:r w:rsidRPr="000C2EC0">
        <w:rPr>
          <w:rFonts w:hint="eastAsia"/>
          <w:b w:val="0"/>
          <w:color w:val="000000" w:themeColor="text1"/>
        </w:rPr>
        <w:lastRenderedPageBreak/>
        <w:t>（四）私劣菸酒銷毀</w:t>
      </w:r>
    </w:p>
    <w:p w:rsidR="00C227F2" w:rsidRPr="000C2EC0" w:rsidRDefault="00C227F2" w:rsidP="002C7CB8">
      <w:pPr>
        <w:adjustRightInd w:val="0"/>
        <w:snapToGrid w:val="0"/>
        <w:spacing w:line="460" w:lineRule="exact"/>
        <w:ind w:leftChars="472" w:left="1133"/>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截至</w:t>
      </w:r>
      <w:smartTag w:uri="urn:schemas-microsoft-com:office:smarttags" w:element="chsdate">
        <w:smartTagPr>
          <w:attr w:name="Year" w:val="2015"/>
          <w:attr w:name="Month" w:val="6"/>
          <w:attr w:name="Day" w:val="30"/>
          <w:attr w:name="IsLunarDate" w:val="False"/>
          <w:attr w:name="IsROCDate" w:val="False"/>
        </w:smartTagPr>
        <w:r w:rsidRPr="000C2EC0">
          <w:rPr>
            <w:rFonts w:ascii="標楷體" w:eastAsia="標楷體" w:hAnsi="標楷體" w:cs="超研澤粗黑" w:hint="eastAsia"/>
            <w:color w:val="000000" w:themeColor="text1"/>
            <w:sz w:val="28"/>
            <w:szCs w:val="28"/>
          </w:rPr>
          <w:t>6月30日</w:t>
        </w:r>
      </w:smartTag>
      <w:r w:rsidRPr="000C2EC0">
        <w:rPr>
          <w:rFonts w:ascii="標楷體" w:eastAsia="標楷體" w:hAnsi="標楷體" w:cs="超研澤粗黑" w:hint="eastAsia"/>
          <w:color w:val="000000" w:themeColor="text1"/>
          <w:sz w:val="28"/>
          <w:szCs w:val="28"/>
        </w:rPr>
        <w:t>止，辦理4次銷毀已判決（裁處）之沒收、沒入物品(含以前年度)，總計銷毀1</w:t>
      </w:r>
      <w:r w:rsidRPr="000C2EC0">
        <w:rPr>
          <w:rFonts w:ascii="標楷體" w:eastAsia="標楷體" w:hAnsi="標楷體" w:cs="超研澤粗黑"/>
          <w:color w:val="000000" w:themeColor="text1"/>
          <w:sz w:val="28"/>
          <w:szCs w:val="28"/>
        </w:rPr>
        <w:t>26</w:t>
      </w:r>
      <w:r w:rsidRPr="000C2EC0">
        <w:rPr>
          <w:rFonts w:ascii="標楷體" w:eastAsia="標楷體" w:hAnsi="標楷體" w:cs="超研澤粗黑" w:hint="eastAsia"/>
          <w:color w:val="000000" w:themeColor="text1"/>
          <w:sz w:val="28"/>
          <w:szCs w:val="28"/>
        </w:rPr>
        <w:t>案，計銷毀</w:t>
      </w:r>
      <w:r w:rsidRPr="000C2EC0">
        <w:rPr>
          <w:rFonts w:ascii="標楷體" w:eastAsia="標楷體" w:hAnsi="標楷體" w:cs="超研澤粗黑"/>
          <w:color w:val="000000" w:themeColor="text1"/>
          <w:sz w:val="28"/>
          <w:szCs w:val="28"/>
        </w:rPr>
        <w:t>菸品</w:t>
      </w:r>
      <w:r w:rsidRPr="000C2EC0">
        <w:rPr>
          <w:rFonts w:ascii="標楷體" w:eastAsia="標楷體" w:hAnsi="標楷體" w:cs="超研澤粗黑" w:hint="eastAsia"/>
          <w:color w:val="000000" w:themeColor="text1"/>
          <w:sz w:val="28"/>
          <w:szCs w:val="28"/>
        </w:rPr>
        <w:t>3</w:t>
      </w:r>
      <w:r w:rsidRPr="000C2EC0">
        <w:rPr>
          <w:rFonts w:ascii="標楷體" w:eastAsia="標楷體" w:hAnsi="標楷體" w:cs="超研澤粗黑"/>
          <w:color w:val="000000" w:themeColor="text1"/>
          <w:sz w:val="28"/>
          <w:szCs w:val="28"/>
        </w:rPr>
        <w:t>90</w:t>
      </w:r>
      <w:r w:rsidRPr="000C2EC0">
        <w:rPr>
          <w:rFonts w:ascii="標楷體" w:eastAsia="標楷體" w:hAnsi="標楷體" w:cs="超研澤粗黑" w:hint="eastAsia"/>
          <w:color w:val="000000" w:themeColor="text1"/>
          <w:sz w:val="28"/>
          <w:szCs w:val="28"/>
        </w:rPr>
        <w:t>萬3</w:t>
      </w:r>
      <w:r w:rsidRPr="000C2EC0">
        <w:rPr>
          <w:rFonts w:ascii="標楷體" w:eastAsia="標楷體" w:hAnsi="標楷體" w:cs="超研澤粗黑"/>
          <w:color w:val="000000" w:themeColor="text1"/>
          <w:sz w:val="28"/>
          <w:szCs w:val="28"/>
        </w:rPr>
        <w:t>,525包及酒品</w:t>
      </w:r>
      <w:r w:rsidRPr="000C2EC0">
        <w:rPr>
          <w:rFonts w:ascii="標楷體" w:eastAsia="標楷體" w:hAnsi="標楷體" w:cs="超研澤粗黑" w:hint="eastAsia"/>
          <w:color w:val="000000" w:themeColor="text1"/>
          <w:sz w:val="28"/>
          <w:szCs w:val="28"/>
        </w:rPr>
        <w:t>1萬8</w:t>
      </w:r>
      <w:r w:rsidRPr="000C2EC0">
        <w:rPr>
          <w:rFonts w:ascii="標楷體" w:eastAsia="標楷體" w:hAnsi="標楷體" w:cs="超研澤粗黑"/>
          <w:color w:val="000000" w:themeColor="text1"/>
          <w:sz w:val="28"/>
          <w:szCs w:val="28"/>
        </w:rPr>
        <w:t>,862公升</w:t>
      </w:r>
      <w:r w:rsidRPr="000C2EC0">
        <w:rPr>
          <w:rFonts w:ascii="標楷體" w:eastAsia="標楷體" w:hAnsi="標楷體" w:cs="超研澤粗黑" w:hint="eastAsia"/>
          <w:color w:val="000000" w:themeColor="text1"/>
          <w:sz w:val="28"/>
          <w:szCs w:val="28"/>
        </w:rPr>
        <w:t>。</w:t>
      </w:r>
    </w:p>
    <w:p w:rsidR="00A52886" w:rsidRPr="000C2EC0" w:rsidRDefault="00A52886" w:rsidP="002C7CB8">
      <w:pPr>
        <w:pStyle w:val="affffffff6"/>
        <w:spacing w:beforeLines="50" w:before="180" w:after="0" w:line="440" w:lineRule="exact"/>
        <w:jc w:val="both"/>
        <w:rPr>
          <w:rFonts w:ascii="標楷體" w:eastAsia="標楷體" w:hAnsi="標楷體"/>
          <w:color w:val="000000" w:themeColor="text1"/>
          <w:sz w:val="32"/>
          <w:szCs w:val="32"/>
        </w:rPr>
      </w:pPr>
      <w:r w:rsidRPr="000C2EC0">
        <w:rPr>
          <w:rFonts w:ascii="標楷體" w:eastAsia="標楷體" w:hAnsi="標楷體" w:hint="eastAsia"/>
          <w:color w:val="000000" w:themeColor="text1"/>
          <w:sz w:val="32"/>
          <w:szCs w:val="32"/>
        </w:rPr>
        <w:t>四、市有公用財產管理</w:t>
      </w:r>
    </w:p>
    <w:p w:rsidR="00277BB1" w:rsidRPr="000C2EC0" w:rsidRDefault="00277BB1" w:rsidP="0099447F">
      <w:pPr>
        <w:pStyle w:val="affffffff8"/>
        <w:spacing w:line="440" w:lineRule="exact"/>
        <w:ind w:leftChars="236" w:left="566"/>
        <w:jc w:val="both"/>
        <w:rPr>
          <w:b w:val="0"/>
          <w:color w:val="000000" w:themeColor="text1"/>
        </w:rPr>
      </w:pPr>
      <w:r w:rsidRPr="000C2EC0">
        <w:rPr>
          <w:rFonts w:hint="eastAsia"/>
          <w:b w:val="0"/>
          <w:color w:val="000000" w:themeColor="text1"/>
        </w:rPr>
        <w:t>（一）推動「高雄市市有財產管理資訊系統」之運用</w:t>
      </w:r>
    </w:p>
    <w:p w:rsidR="00277BB1" w:rsidRPr="000C2EC0" w:rsidRDefault="00277BB1" w:rsidP="0099447F">
      <w:pPr>
        <w:adjustRightInd w:val="0"/>
        <w:snapToGrid w:val="0"/>
        <w:spacing w:line="460" w:lineRule="exact"/>
        <w:ind w:leftChars="590" w:left="1416"/>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市府各機關學校已將財產資料納入系統管理，全面使用「市有財產管理資訊系統」執行財產管理相關作業。為符合各機關需求及及增加外業會勘所需，持續</w:t>
      </w:r>
      <w:r w:rsidRPr="000C2EC0">
        <w:rPr>
          <w:rFonts w:ascii="標楷體" w:eastAsia="標楷體" w:hAnsi="標楷體" w:cs="標楷體" w:hint="eastAsia"/>
          <w:color w:val="000000" w:themeColor="text1"/>
          <w:sz w:val="28"/>
          <w:szCs w:val="28"/>
        </w:rPr>
        <w:t>擴充</w:t>
      </w:r>
      <w:r w:rsidRPr="000C2EC0">
        <w:rPr>
          <w:rFonts w:ascii="標楷體" w:eastAsia="標楷體" w:hAnsi="標楷體" w:cs="超研澤粗黑" w:hint="eastAsia"/>
          <w:color w:val="000000" w:themeColor="text1"/>
          <w:kern w:val="0"/>
          <w:sz w:val="28"/>
          <w:szCs w:val="28"/>
        </w:rPr>
        <w:t>系統架構及資料庫結構，</w:t>
      </w:r>
      <w:r w:rsidRPr="000C2EC0">
        <w:rPr>
          <w:rFonts w:ascii="標楷體" w:eastAsia="標楷體" w:hAnsi="標楷體" w:cs="標楷體" w:hint="eastAsia"/>
          <w:color w:val="000000" w:themeColor="text1"/>
          <w:sz w:val="28"/>
          <w:szCs w:val="28"/>
        </w:rPr>
        <w:t>強化市有財產管理相關系統功能，提昇管理績效。</w:t>
      </w:r>
    </w:p>
    <w:p w:rsidR="00277BB1" w:rsidRPr="000C2EC0" w:rsidRDefault="00277BB1" w:rsidP="0099447F">
      <w:pPr>
        <w:pStyle w:val="affffffff8"/>
        <w:spacing w:line="440" w:lineRule="exact"/>
        <w:ind w:leftChars="236" w:left="566"/>
        <w:jc w:val="both"/>
        <w:rPr>
          <w:b w:val="0"/>
          <w:color w:val="000000" w:themeColor="text1"/>
        </w:rPr>
      </w:pPr>
      <w:r w:rsidRPr="000C2EC0">
        <w:rPr>
          <w:rFonts w:hint="eastAsia"/>
          <w:b w:val="0"/>
          <w:color w:val="000000" w:themeColor="text1"/>
        </w:rPr>
        <w:t>（二）辦理公有財產檢查，健全財產管理</w:t>
      </w:r>
      <w:bookmarkStart w:id="4" w:name="_Hlk44514716"/>
      <w:r w:rsidRPr="000C2EC0">
        <w:rPr>
          <w:rFonts w:hint="eastAsia"/>
          <w:b w:val="0"/>
          <w:color w:val="000000" w:themeColor="text1"/>
        </w:rPr>
        <w:t>制度</w:t>
      </w:r>
      <w:bookmarkEnd w:id="4"/>
    </w:p>
    <w:p w:rsidR="00277BB1" w:rsidRPr="000C2EC0" w:rsidRDefault="00277BB1" w:rsidP="0099447F">
      <w:pPr>
        <w:adjustRightInd w:val="0"/>
        <w:snapToGrid w:val="0"/>
        <w:spacing w:line="460" w:lineRule="exact"/>
        <w:ind w:leftChars="590" w:left="1418" w:hanging="2"/>
        <w:jc w:val="both"/>
        <w:rPr>
          <w:rFonts w:ascii="標楷體" w:eastAsia="標楷體" w:hAnsi="標楷體" w:cs="超研澤粗黑"/>
          <w:color w:val="000000" w:themeColor="text1"/>
          <w:sz w:val="28"/>
          <w:szCs w:val="28"/>
        </w:rPr>
      </w:pPr>
      <w:r w:rsidRPr="000C2EC0">
        <w:rPr>
          <w:rFonts w:asciiTheme="minorHAnsi" w:eastAsia="標楷體" w:hAnsiTheme="minorHAnsi" w:cstheme="minorBidi" w:hint="eastAsia"/>
          <w:color w:val="000000" w:themeColor="text1"/>
          <w:sz w:val="28"/>
          <w:szCs w:val="28"/>
        </w:rPr>
        <w:t>為加強公有財產之保管、使用、收益、處分與利用，</w:t>
      </w:r>
      <w:r w:rsidRPr="000C2EC0">
        <w:rPr>
          <w:rFonts w:ascii="標楷體" w:eastAsia="標楷體" w:hAnsi="標楷體" w:cstheme="minorBidi" w:hint="eastAsia"/>
          <w:color w:val="000000" w:themeColor="text1"/>
          <w:sz w:val="28"/>
          <w:szCs w:val="28"/>
        </w:rPr>
        <w:t>依年度財產管理情形檢查計畫辦理財產檢查</w:t>
      </w:r>
      <w:r w:rsidRPr="000C2EC0">
        <w:rPr>
          <w:rFonts w:asciiTheme="minorHAnsi" w:eastAsia="標楷體" w:hAnsiTheme="minorHAnsi" w:cstheme="minorBidi" w:hint="eastAsia"/>
          <w:color w:val="000000" w:themeColor="text1"/>
          <w:sz w:val="28"/>
          <w:szCs w:val="28"/>
        </w:rPr>
        <w:t>，藉以增進</w:t>
      </w:r>
      <w:r w:rsidRPr="000C2EC0">
        <w:rPr>
          <w:rFonts w:ascii="標楷體" w:eastAsia="標楷體" w:hAnsi="標楷體" w:cstheme="minorBidi" w:hint="eastAsia"/>
          <w:color w:val="000000" w:themeColor="text1"/>
          <w:sz w:val="28"/>
          <w:szCs w:val="28"/>
        </w:rPr>
        <w:t>所屬機關</w:t>
      </w:r>
      <w:r w:rsidRPr="000C2EC0">
        <w:rPr>
          <w:rFonts w:asciiTheme="minorHAnsi" w:eastAsia="標楷體" w:hAnsiTheme="minorHAnsi" w:cstheme="minorBidi" w:hint="eastAsia"/>
          <w:color w:val="000000" w:themeColor="text1"/>
          <w:sz w:val="28"/>
          <w:szCs w:val="28"/>
        </w:rPr>
        <w:t>業務能力並健全公有財產管理制度。</w:t>
      </w:r>
      <w:r w:rsidRPr="000C2EC0">
        <w:rPr>
          <w:rFonts w:ascii="標楷體" w:eastAsia="標楷體" w:hAnsi="標楷體" w:cstheme="minorBidi" w:hint="eastAsia"/>
          <w:color w:val="000000" w:themeColor="text1"/>
          <w:sz w:val="28"/>
          <w:szCs w:val="28"/>
        </w:rPr>
        <w:t>109年上半年度完成</w:t>
      </w:r>
      <w:r w:rsidRPr="000C2EC0">
        <w:rPr>
          <w:rFonts w:ascii="標楷體" w:eastAsia="標楷體" w:hAnsiTheme="minorHAnsi" w:cs="標楷體" w:hint="eastAsia"/>
          <w:color w:val="000000" w:themeColor="text1"/>
          <w:kern w:val="0"/>
          <w:sz w:val="28"/>
          <w:szCs w:val="28"/>
          <w:lang w:val="zh-TW"/>
        </w:rPr>
        <w:t>都市發展局、警察局苓雅分局、大寮國中</w:t>
      </w:r>
      <w:r w:rsidRPr="000C2EC0">
        <w:rPr>
          <w:rFonts w:ascii="標楷體" w:eastAsia="標楷體" w:hAnsi="標楷體" w:cstheme="minorBidi" w:hint="eastAsia"/>
          <w:color w:val="000000" w:themeColor="text1"/>
          <w:sz w:val="28"/>
          <w:szCs w:val="28"/>
        </w:rPr>
        <w:t>等20所機關學校實地訪查作業，</w:t>
      </w:r>
      <w:r w:rsidRPr="000C2EC0">
        <w:rPr>
          <w:rFonts w:asciiTheme="minorHAnsi" w:eastAsia="標楷體" w:hAnsiTheme="minorHAnsi" w:cstheme="minorBidi" w:hint="eastAsia"/>
          <w:color w:val="000000" w:themeColor="text1"/>
          <w:sz w:val="28"/>
          <w:szCs w:val="28"/>
        </w:rPr>
        <w:t>並列管追蹤受檢機關缺失改善結果</w:t>
      </w:r>
      <w:r w:rsidRPr="000C2EC0">
        <w:rPr>
          <w:rFonts w:ascii="標楷體" w:eastAsia="標楷體" w:hAnsi="標楷體" w:cs="標楷體" w:hint="eastAsia"/>
          <w:color w:val="000000" w:themeColor="text1"/>
          <w:sz w:val="28"/>
          <w:szCs w:val="28"/>
        </w:rPr>
        <w:t>。</w:t>
      </w:r>
    </w:p>
    <w:p w:rsidR="00277BB1" w:rsidRPr="0099447F" w:rsidRDefault="00277BB1" w:rsidP="0099447F">
      <w:pPr>
        <w:pStyle w:val="affffffff8"/>
        <w:spacing w:line="440" w:lineRule="exact"/>
        <w:ind w:leftChars="236" w:left="1414" w:hangingChars="303" w:hanging="848"/>
        <w:jc w:val="both"/>
        <w:rPr>
          <w:b w:val="0"/>
          <w:color w:val="000000" w:themeColor="text1"/>
        </w:rPr>
      </w:pPr>
      <w:r w:rsidRPr="000C2EC0">
        <w:rPr>
          <w:rFonts w:hint="eastAsia"/>
          <w:b w:val="0"/>
          <w:color w:val="000000" w:themeColor="text1"/>
        </w:rPr>
        <w:t>（三）強化「高雄市空間再利用資訊整合平台」功能，提升市有資產運用效益，避免閒置浪費</w:t>
      </w:r>
      <w:r w:rsidRPr="0099447F">
        <w:rPr>
          <w:rFonts w:cs="超研澤粗黑" w:hint="eastAsia"/>
          <w:b w:val="0"/>
          <w:color w:val="000000" w:themeColor="text1"/>
        </w:rPr>
        <w:t>督促各機關確實執行「高雄市市有閒置及低度利用房地清理利用計畫」，清查及檢討舊有及新增之市有閒置空間，並於109年4月召開年度第1次專案小組會議，協助各機關活化措施，將最新之市有閒置空間資訊，放置於高雄市空間再利用資訊整合平台，加速本市閒置空間之媒合，以配合市政建設，減少財政支出，增裕市庫收入。</w:t>
      </w:r>
    </w:p>
    <w:p w:rsidR="00277BB1" w:rsidRPr="000C2EC0" w:rsidRDefault="00277BB1" w:rsidP="0099447F">
      <w:pPr>
        <w:pStyle w:val="affffffff8"/>
        <w:spacing w:line="440" w:lineRule="exact"/>
        <w:ind w:leftChars="236" w:left="566" w:firstLineChars="66" w:firstLine="185"/>
        <w:jc w:val="both"/>
        <w:rPr>
          <w:b w:val="0"/>
          <w:color w:val="000000" w:themeColor="text1"/>
        </w:rPr>
      </w:pPr>
      <w:r w:rsidRPr="000C2EC0">
        <w:rPr>
          <w:rFonts w:hint="eastAsia"/>
          <w:b w:val="0"/>
          <w:color w:val="000000" w:themeColor="text1"/>
        </w:rPr>
        <w:t>(四）協助各機關清理被占用市有不動產，健全公產管理</w:t>
      </w:r>
    </w:p>
    <w:p w:rsidR="00277BB1" w:rsidRPr="000C2EC0" w:rsidRDefault="00277BB1" w:rsidP="0099447F">
      <w:pPr>
        <w:adjustRightInd w:val="0"/>
        <w:snapToGrid w:val="0"/>
        <w:spacing w:line="460" w:lineRule="exact"/>
        <w:ind w:leftChars="590" w:left="1416" w:firstLineChars="8" w:firstLine="22"/>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積極督導各機關處理經管之被占用不動產案件，並定期更新全市被占用不動產資料，於109年4月針對特殊列管案件召開「本市各機關學校被占用市有不動產處理情形檢討會議」。另於109年5月28日，通過修訂「高雄市政府處理被占用市有不動產作業要點」第六點及第七點，放寬分期期數，有利於使用補償金之回收。</w:t>
      </w:r>
    </w:p>
    <w:p w:rsidR="00277BB1" w:rsidRPr="000C2EC0" w:rsidRDefault="00BE7585" w:rsidP="00682F92">
      <w:pPr>
        <w:pStyle w:val="affffffff8"/>
        <w:tabs>
          <w:tab w:val="left" w:pos="1418"/>
        </w:tabs>
        <w:spacing w:line="440" w:lineRule="exact"/>
        <w:ind w:leftChars="118" w:left="283"/>
        <w:jc w:val="both"/>
        <w:rPr>
          <w:b w:val="0"/>
          <w:color w:val="000000" w:themeColor="text1"/>
        </w:rPr>
      </w:pPr>
      <w:r w:rsidRPr="000C2EC0">
        <w:rPr>
          <w:rFonts w:hint="eastAsia"/>
          <w:b w:val="0"/>
          <w:color w:val="000000" w:themeColor="text1"/>
        </w:rPr>
        <w:lastRenderedPageBreak/>
        <w:t xml:space="preserve">  </w:t>
      </w:r>
      <w:r w:rsidR="00277BB1" w:rsidRPr="000C2EC0">
        <w:rPr>
          <w:rFonts w:hint="eastAsia"/>
          <w:b w:val="0"/>
          <w:color w:val="000000" w:themeColor="text1"/>
        </w:rPr>
        <w:t>（五）促進資源再利用，增裕市庫收入</w:t>
      </w:r>
    </w:p>
    <w:p w:rsidR="00277BB1" w:rsidRPr="000C2EC0" w:rsidRDefault="00BE7585" w:rsidP="00682F92">
      <w:pPr>
        <w:adjustRightInd w:val="0"/>
        <w:snapToGrid w:val="0"/>
        <w:spacing w:line="460" w:lineRule="exact"/>
        <w:ind w:leftChars="532" w:left="1417" w:hangingChars="50" w:hanging="140"/>
        <w:jc w:val="both"/>
        <w:rPr>
          <w:rFonts w:ascii="標楷體" w:eastAsia="標楷體" w:hAnsi="標楷體" w:cs="超研澤粗黑"/>
          <w:color w:val="000000" w:themeColor="text1"/>
          <w:sz w:val="28"/>
          <w:szCs w:val="28"/>
        </w:rPr>
      </w:pPr>
      <w:r w:rsidRPr="000C2EC0">
        <w:rPr>
          <w:rFonts w:ascii="標楷體" w:eastAsia="標楷體" w:hAnsi="標楷體" w:cs="超研澤粗黑" w:hint="eastAsia"/>
          <w:color w:val="000000" w:themeColor="text1"/>
          <w:sz w:val="28"/>
          <w:szCs w:val="28"/>
        </w:rPr>
        <w:t xml:space="preserve"> </w:t>
      </w:r>
      <w:r w:rsidR="00277BB1" w:rsidRPr="000C2EC0">
        <w:rPr>
          <w:rFonts w:ascii="標楷體" w:eastAsia="標楷體" w:hAnsi="標楷體" w:cs="超研澤粗黑" w:hint="eastAsia"/>
          <w:color w:val="000000" w:themeColor="text1"/>
          <w:sz w:val="28"/>
          <w:szCs w:val="28"/>
        </w:rPr>
        <w:t>宣導各機關報廢物品多利用「臺北惜物網」交易平台標售，以促進資源再利用，增裕市庫收入。截至</w:t>
      </w:r>
      <w:r w:rsidR="00277BB1" w:rsidRPr="000C2EC0">
        <w:rPr>
          <w:rFonts w:ascii="標楷體" w:eastAsia="標楷體" w:hAnsi="標楷體" w:cs="超研澤粗黑"/>
          <w:color w:val="000000" w:themeColor="text1"/>
          <w:sz w:val="28"/>
          <w:szCs w:val="28"/>
        </w:rPr>
        <w:t>109</w:t>
      </w:r>
      <w:r w:rsidR="00277BB1" w:rsidRPr="000C2EC0">
        <w:rPr>
          <w:rFonts w:ascii="標楷體" w:eastAsia="標楷體" w:hAnsi="標楷體" w:cs="超研澤粗黑" w:hint="eastAsia"/>
          <w:color w:val="000000" w:themeColor="text1"/>
          <w:sz w:val="28"/>
          <w:szCs w:val="28"/>
        </w:rPr>
        <w:t>年6月3</w:t>
      </w:r>
      <w:r w:rsidR="00277BB1" w:rsidRPr="000C2EC0">
        <w:rPr>
          <w:rFonts w:ascii="標楷體" w:eastAsia="標楷體" w:hAnsi="標楷體" w:cs="超研澤粗黑"/>
          <w:color w:val="000000" w:themeColor="text1"/>
          <w:sz w:val="28"/>
          <w:szCs w:val="28"/>
        </w:rPr>
        <w:t>0</w:t>
      </w:r>
      <w:r w:rsidR="00277BB1" w:rsidRPr="000C2EC0">
        <w:rPr>
          <w:rFonts w:ascii="標楷體" w:eastAsia="標楷體" w:hAnsi="標楷體" w:cs="超研澤粗黑" w:hint="eastAsia"/>
          <w:color w:val="000000" w:themeColor="text1"/>
          <w:sz w:val="28"/>
          <w:szCs w:val="28"/>
        </w:rPr>
        <w:t>日止，運用網路平台拍賣成交總金額約</w:t>
      </w:r>
      <w:r w:rsidR="00277BB1" w:rsidRPr="000C2EC0">
        <w:rPr>
          <w:rFonts w:ascii="標楷體" w:eastAsia="標楷體" w:hAnsi="標楷體" w:cs="超研澤粗黑"/>
          <w:color w:val="000000" w:themeColor="text1"/>
          <w:sz w:val="28"/>
          <w:szCs w:val="28"/>
        </w:rPr>
        <w:t>1</w:t>
      </w:r>
      <w:r w:rsidR="00277BB1" w:rsidRPr="000C2EC0">
        <w:rPr>
          <w:rFonts w:ascii="標楷體" w:eastAsia="標楷體" w:hAnsi="標楷體" w:cs="超研澤粗黑" w:hint="eastAsia"/>
          <w:color w:val="000000" w:themeColor="text1"/>
          <w:sz w:val="28"/>
          <w:szCs w:val="28"/>
        </w:rPr>
        <w:t>,6</w:t>
      </w:r>
      <w:r w:rsidR="00277BB1" w:rsidRPr="000C2EC0">
        <w:rPr>
          <w:rFonts w:ascii="標楷體" w:eastAsia="標楷體" w:hAnsi="標楷體" w:cs="超研澤粗黑"/>
          <w:color w:val="000000" w:themeColor="text1"/>
          <w:sz w:val="28"/>
          <w:szCs w:val="28"/>
        </w:rPr>
        <w:t>80</w:t>
      </w:r>
      <w:r w:rsidR="00277BB1" w:rsidRPr="000C2EC0">
        <w:rPr>
          <w:rFonts w:ascii="標楷體" w:eastAsia="標楷體" w:hAnsi="標楷體" w:cs="超研澤粗黑" w:hint="eastAsia"/>
          <w:color w:val="000000" w:themeColor="text1"/>
          <w:sz w:val="28"/>
          <w:szCs w:val="28"/>
        </w:rPr>
        <w:t>萬6仟餘元；其中109年1至6月拍賣總成交金額約254萬3仟餘元。</w:t>
      </w:r>
    </w:p>
    <w:p w:rsidR="00A52886" w:rsidRPr="000C2EC0" w:rsidRDefault="00A52886" w:rsidP="002C7CB8">
      <w:pPr>
        <w:pStyle w:val="affffffff6"/>
        <w:spacing w:beforeLines="50" w:before="180" w:after="0" w:line="440" w:lineRule="exact"/>
        <w:jc w:val="both"/>
        <w:rPr>
          <w:rFonts w:ascii="標楷體" w:eastAsia="標楷體" w:hAnsi="標楷體"/>
          <w:color w:val="000000" w:themeColor="text1"/>
          <w:sz w:val="32"/>
          <w:szCs w:val="32"/>
        </w:rPr>
      </w:pPr>
      <w:r w:rsidRPr="000C2EC0">
        <w:rPr>
          <w:rFonts w:ascii="標楷體" w:eastAsia="標楷體" w:hAnsi="標楷體" w:hint="eastAsia"/>
          <w:color w:val="000000" w:themeColor="text1"/>
          <w:sz w:val="32"/>
          <w:szCs w:val="32"/>
        </w:rPr>
        <w:t>五</w:t>
      </w:r>
      <w:r w:rsidRPr="000C2EC0">
        <w:rPr>
          <w:rFonts w:ascii="標楷體" w:eastAsia="標楷體" w:hAnsi="標楷體"/>
          <w:color w:val="000000" w:themeColor="text1"/>
          <w:sz w:val="32"/>
          <w:szCs w:val="32"/>
        </w:rPr>
        <w:t>、市有非公用財產管理</w:t>
      </w:r>
      <w:r w:rsidRPr="000C2EC0">
        <w:rPr>
          <w:rFonts w:ascii="標楷體" w:eastAsia="標楷體" w:hAnsi="標楷體" w:hint="eastAsia"/>
          <w:color w:val="000000" w:themeColor="text1"/>
          <w:sz w:val="32"/>
          <w:szCs w:val="32"/>
        </w:rPr>
        <w:t xml:space="preserve"> </w:t>
      </w:r>
    </w:p>
    <w:p w:rsidR="003425EA" w:rsidRPr="000C2EC0" w:rsidRDefault="00BE7585" w:rsidP="002C7CB8">
      <w:pPr>
        <w:pStyle w:val="affffffff8"/>
        <w:spacing w:line="440" w:lineRule="exact"/>
        <w:ind w:leftChars="100" w:left="240" w:firstLineChars="66" w:firstLine="185"/>
        <w:jc w:val="both"/>
        <w:rPr>
          <w:b w:val="0"/>
          <w:color w:val="000000" w:themeColor="text1"/>
        </w:rPr>
      </w:pPr>
      <w:r w:rsidRPr="000C2EC0">
        <w:rPr>
          <w:rFonts w:hint="eastAsia"/>
          <w:color w:val="000000" w:themeColor="text1"/>
        </w:rPr>
        <w:t xml:space="preserve"> </w:t>
      </w:r>
      <w:r w:rsidR="003425EA" w:rsidRPr="000C2EC0">
        <w:rPr>
          <w:rFonts w:hint="eastAsia"/>
          <w:b w:val="0"/>
          <w:color w:val="000000" w:themeColor="text1"/>
        </w:rPr>
        <w:t>(</w:t>
      </w:r>
      <w:r w:rsidR="003425EA" w:rsidRPr="000C2EC0">
        <w:rPr>
          <w:b w:val="0"/>
          <w:color w:val="000000" w:themeColor="text1"/>
        </w:rPr>
        <w:t>一</w:t>
      </w:r>
      <w:r w:rsidR="003425EA" w:rsidRPr="000C2EC0">
        <w:rPr>
          <w:rFonts w:hint="eastAsia"/>
          <w:b w:val="0"/>
          <w:color w:val="000000" w:themeColor="text1"/>
        </w:rPr>
        <w:t>)</w:t>
      </w:r>
      <w:r w:rsidR="003425EA" w:rsidRPr="000C2EC0">
        <w:rPr>
          <w:b w:val="0"/>
          <w:color w:val="000000" w:themeColor="text1"/>
        </w:rPr>
        <w:t>一般市有非公用土地管理情形</w:t>
      </w:r>
    </w:p>
    <w:p w:rsidR="003425EA" w:rsidRPr="000C2EC0" w:rsidRDefault="00BE7585" w:rsidP="00682F92">
      <w:pPr>
        <w:adjustRightInd w:val="0"/>
        <w:snapToGrid w:val="0"/>
        <w:spacing w:line="460" w:lineRule="exact"/>
        <w:ind w:leftChars="413" w:left="2125" w:hangingChars="405" w:hanging="1134"/>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 xml:space="preserve"> </w:t>
      </w:r>
      <w:r w:rsidR="003425EA" w:rsidRPr="000C2EC0">
        <w:rPr>
          <w:rFonts w:ascii="標楷體" w:eastAsia="標楷體" w:hAnsi="標楷體" w:cs="Times New Roman" w:hint="eastAsia"/>
          <w:color w:val="000000" w:themeColor="text1"/>
          <w:sz w:val="28"/>
          <w:szCs w:val="28"/>
        </w:rPr>
        <w:t>1.出租：截至</w:t>
      </w:r>
      <w:r w:rsidR="003425EA" w:rsidRPr="000C2EC0">
        <w:rPr>
          <w:rFonts w:ascii="標楷體" w:eastAsia="標楷體" w:hAnsi="標楷體" w:cs="Times New Roman"/>
          <w:color w:val="000000" w:themeColor="text1"/>
          <w:sz w:val="28"/>
          <w:szCs w:val="28"/>
        </w:rPr>
        <w:t>10</w:t>
      </w:r>
      <w:r w:rsidR="003425EA" w:rsidRPr="000C2EC0">
        <w:rPr>
          <w:rFonts w:ascii="標楷體" w:eastAsia="標楷體" w:hAnsi="標楷體" w:cs="Times New Roman" w:hint="eastAsia"/>
          <w:color w:val="000000" w:themeColor="text1"/>
          <w:sz w:val="28"/>
          <w:szCs w:val="28"/>
        </w:rPr>
        <w:t>9年6月底，承租戶共3,014戶、租金收入共計1,612萬元。</w:t>
      </w:r>
    </w:p>
    <w:p w:rsidR="003425EA" w:rsidRPr="000C2EC0" w:rsidRDefault="00BE7585" w:rsidP="00682F92">
      <w:pPr>
        <w:adjustRightInd w:val="0"/>
        <w:snapToGrid w:val="0"/>
        <w:spacing w:line="460" w:lineRule="exact"/>
        <w:ind w:leftChars="413" w:left="2265" w:hangingChars="455" w:hanging="1274"/>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 xml:space="preserve"> </w:t>
      </w:r>
      <w:r w:rsidR="003425EA" w:rsidRPr="000C2EC0">
        <w:rPr>
          <w:rFonts w:ascii="標楷體" w:eastAsia="標楷體" w:hAnsi="標楷體" w:cs="Times New Roman" w:hint="eastAsia"/>
          <w:color w:val="000000" w:themeColor="text1"/>
          <w:sz w:val="28"/>
          <w:szCs w:val="28"/>
        </w:rPr>
        <w:t>2.占用：截至</w:t>
      </w:r>
      <w:r w:rsidR="003425EA" w:rsidRPr="000C2EC0">
        <w:rPr>
          <w:rFonts w:ascii="標楷體" w:eastAsia="標楷體" w:hAnsi="標楷體" w:cs="Times New Roman"/>
          <w:color w:val="000000" w:themeColor="text1"/>
          <w:sz w:val="28"/>
          <w:szCs w:val="28"/>
        </w:rPr>
        <w:t>10</w:t>
      </w:r>
      <w:r w:rsidR="003425EA" w:rsidRPr="000C2EC0">
        <w:rPr>
          <w:rFonts w:ascii="標楷體" w:eastAsia="標楷體" w:hAnsi="標楷體" w:cs="Times New Roman" w:hint="eastAsia"/>
          <w:color w:val="000000" w:themeColor="text1"/>
          <w:sz w:val="28"/>
          <w:szCs w:val="28"/>
        </w:rPr>
        <w:t>9年6月底，占用戶共1,766戶、使用補償金收入共計850萬元。</w:t>
      </w:r>
    </w:p>
    <w:p w:rsidR="003425EA" w:rsidRPr="000C2EC0" w:rsidRDefault="00BE7585" w:rsidP="00682F92">
      <w:pPr>
        <w:adjustRightInd w:val="0"/>
        <w:snapToGrid w:val="0"/>
        <w:spacing w:line="460" w:lineRule="exact"/>
        <w:ind w:leftChars="413" w:left="2265" w:hangingChars="455" w:hanging="1274"/>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 xml:space="preserve"> </w:t>
      </w:r>
      <w:r w:rsidR="003425EA" w:rsidRPr="000C2EC0">
        <w:rPr>
          <w:rFonts w:ascii="標楷體" w:eastAsia="標楷體" w:hAnsi="標楷體" w:cs="Times New Roman" w:hint="eastAsia"/>
          <w:color w:val="000000" w:themeColor="text1"/>
          <w:sz w:val="28"/>
          <w:szCs w:val="28"/>
        </w:rPr>
        <w:t>3.出售：截至</w:t>
      </w:r>
      <w:r w:rsidR="003425EA" w:rsidRPr="000C2EC0">
        <w:rPr>
          <w:rFonts w:ascii="標楷體" w:eastAsia="標楷體" w:hAnsi="標楷體" w:cs="Times New Roman"/>
          <w:color w:val="000000" w:themeColor="text1"/>
          <w:sz w:val="28"/>
          <w:szCs w:val="28"/>
        </w:rPr>
        <w:t>1</w:t>
      </w:r>
      <w:r w:rsidR="003425EA" w:rsidRPr="000C2EC0">
        <w:rPr>
          <w:rFonts w:ascii="標楷體" w:eastAsia="標楷體" w:hAnsi="標楷體" w:cs="Times New Roman" w:hint="eastAsia"/>
          <w:color w:val="000000" w:themeColor="text1"/>
          <w:sz w:val="28"/>
          <w:szCs w:val="28"/>
        </w:rPr>
        <w:t>09年6月底市有非公用土地讓售售價收入共計4億6,787萬元。</w:t>
      </w:r>
    </w:p>
    <w:p w:rsidR="003425EA" w:rsidRPr="000C2EC0" w:rsidRDefault="003425EA" w:rsidP="00682F92">
      <w:pPr>
        <w:pStyle w:val="affffffff8"/>
        <w:spacing w:line="440" w:lineRule="exact"/>
        <w:ind w:leftChars="237" w:left="992" w:hangingChars="151" w:hanging="423"/>
        <w:jc w:val="both"/>
        <w:rPr>
          <w:rFonts w:cs="新細明體"/>
          <w:b w:val="0"/>
          <w:color w:val="000000" w:themeColor="text1"/>
          <w:kern w:val="0"/>
        </w:rPr>
      </w:pPr>
      <w:r w:rsidRPr="000C2EC0">
        <w:rPr>
          <w:rFonts w:hint="eastAsia"/>
          <w:b w:val="0"/>
          <w:color w:val="000000" w:themeColor="text1"/>
        </w:rPr>
        <w:t>(二)市有非公用土地被占用，拆除地上物收回土地情形</w:t>
      </w:r>
    </w:p>
    <w:p w:rsidR="003425EA" w:rsidRPr="000C2EC0" w:rsidRDefault="003425EA" w:rsidP="00682F92">
      <w:pPr>
        <w:adjustRightInd w:val="0"/>
        <w:spacing w:line="460" w:lineRule="exact"/>
        <w:ind w:leftChars="471" w:left="1131" w:rightChars="47" w:right="113" w:hanging="1"/>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截至</w:t>
      </w:r>
      <w:r w:rsidRPr="000C2EC0">
        <w:rPr>
          <w:rFonts w:ascii="標楷體" w:eastAsia="標楷體" w:hAnsi="標楷體" w:cs="Times New Roman"/>
          <w:color w:val="000000" w:themeColor="text1"/>
          <w:sz w:val="28"/>
          <w:szCs w:val="28"/>
        </w:rPr>
        <w:t>10</w:t>
      </w:r>
      <w:r w:rsidRPr="000C2EC0">
        <w:rPr>
          <w:rFonts w:ascii="標楷體" w:eastAsia="標楷體" w:hAnsi="標楷體" w:cs="Times New Roman" w:hint="eastAsia"/>
          <w:color w:val="000000" w:themeColor="text1"/>
          <w:sz w:val="28"/>
          <w:szCs w:val="28"/>
        </w:rPr>
        <w:t>9年6月底，共計收回前鎮區愛群段1727地號1筆市有非公用土地，面積83平方公尺，公告現值約170萬元。</w:t>
      </w:r>
    </w:p>
    <w:p w:rsidR="00F76C62" w:rsidRPr="000C2EC0" w:rsidRDefault="00F76C62" w:rsidP="00682F92">
      <w:pPr>
        <w:adjustRightInd w:val="0"/>
        <w:spacing w:line="460" w:lineRule="exact"/>
        <w:ind w:leftChars="237" w:left="992" w:right="113" w:hangingChars="151" w:hanging="423"/>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（三）新草衙專案市有非公用土地管理情形</w:t>
      </w:r>
    </w:p>
    <w:p w:rsidR="00F76C62" w:rsidRPr="000C2EC0" w:rsidRDefault="00F76C62" w:rsidP="00682F92">
      <w:pPr>
        <w:adjustRightInd w:val="0"/>
        <w:spacing w:line="460" w:lineRule="exact"/>
        <w:ind w:leftChars="591" w:left="1841" w:right="113" w:hangingChars="151" w:hanging="423"/>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1.新草衙地區市有土地讓售處分案，前經本市議會104年12月11日函復同意專案讓售，行政院亦於105年4月28日核准在案，本案業依土地法第25條完成處分程序。截至10</w:t>
      </w:r>
      <w:r w:rsidRPr="000C2EC0">
        <w:rPr>
          <w:rFonts w:ascii="標楷體" w:eastAsia="標楷體" w:hAnsi="標楷體" w:cs="Times New Roman"/>
          <w:color w:val="000000" w:themeColor="text1"/>
          <w:sz w:val="28"/>
          <w:szCs w:val="28"/>
        </w:rPr>
        <w:t>9</w:t>
      </w:r>
      <w:r w:rsidRPr="000C2EC0">
        <w:rPr>
          <w:rFonts w:ascii="標楷體" w:eastAsia="標楷體" w:hAnsi="標楷體" w:cs="Times New Roman" w:hint="eastAsia"/>
          <w:color w:val="000000" w:themeColor="text1"/>
          <w:sz w:val="28"/>
          <w:szCs w:val="28"/>
        </w:rPr>
        <w:t xml:space="preserve">年6月底申購案件扣除重複送件案累計共2,154案(2,801戶) </w:t>
      </w:r>
      <w:r w:rsidRPr="000C2EC0">
        <w:rPr>
          <w:rFonts w:ascii="標楷體" w:eastAsia="標楷體" w:hAnsi="標楷體" w:cs="Times New Roman"/>
          <w:color w:val="000000" w:themeColor="text1"/>
          <w:sz w:val="28"/>
          <w:szCs w:val="28"/>
        </w:rPr>
        <w:t>4</w:t>
      </w:r>
      <w:r w:rsidRPr="000C2EC0">
        <w:rPr>
          <w:rFonts w:ascii="標楷體" w:eastAsia="標楷體" w:hAnsi="標楷體" w:cs="Times New Roman" w:hint="eastAsia"/>
          <w:color w:val="000000" w:themeColor="text1"/>
          <w:sz w:val="28"/>
          <w:szCs w:val="28"/>
        </w:rPr>
        <w:t>,152筆，面積17萬8,718平方公尺。其中已完成讓售審理程序者共1</w:t>
      </w:r>
      <w:r w:rsidRPr="000C2EC0">
        <w:rPr>
          <w:rFonts w:ascii="標楷體" w:eastAsia="標楷體" w:hAnsi="標楷體" w:cs="Times New Roman"/>
          <w:color w:val="000000" w:themeColor="text1"/>
          <w:sz w:val="28"/>
          <w:szCs w:val="28"/>
        </w:rPr>
        <w:t>,921</w:t>
      </w:r>
      <w:r w:rsidRPr="000C2EC0">
        <w:rPr>
          <w:rFonts w:ascii="標楷體" w:eastAsia="標楷體" w:hAnsi="標楷體" w:cs="Times New Roman" w:hint="eastAsia"/>
          <w:color w:val="000000" w:themeColor="text1"/>
          <w:sz w:val="28"/>
          <w:szCs w:val="28"/>
        </w:rPr>
        <w:t>案(</w:t>
      </w:r>
      <w:r w:rsidRPr="000C2EC0">
        <w:rPr>
          <w:rFonts w:ascii="標楷體" w:eastAsia="標楷體" w:hAnsi="標楷體" w:cs="Times New Roman"/>
          <w:color w:val="000000" w:themeColor="text1"/>
          <w:sz w:val="28"/>
          <w:szCs w:val="28"/>
        </w:rPr>
        <w:t>2</w:t>
      </w:r>
      <w:r w:rsidRPr="000C2EC0">
        <w:rPr>
          <w:rFonts w:ascii="標楷體" w:eastAsia="標楷體" w:hAnsi="標楷體" w:cs="Times New Roman" w:hint="eastAsia"/>
          <w:color w:val="000000" w:themeColor="text1"/>
          <w:sz w:val="28"/>
          <w:szCs w:val="28"/>
        </w:rPr>
        <w:t>,</w:t>
      </w:r>
      <w:r w:rsidRPr="000C2EC0">
        <w:rPr>
          <w:rFonts w:ascii="標楷體" w:eastAsia="標楷體" w:hAnsi="標楷體" w:cs="Times New Roman"/>
          <w:color w:val="000000" w:themeColor="text1"/>
          <w:sz w:val="28"/>
          <w:szCs w:val="28"/>
        </w:rPr>
        <w:t>464</w:t>
      </w:r>
      <w:r w:rsidRPr="000C2EC0">
        <w:rPr>
          <w:rFonts w:ascii="標楷體" w:eastAsia="標楷體" w:hAnsi="標楷體" w:cs="Times New Roman" w:hint="eastAsia"/>
          <w:color w:val="000000" w:themeColor="text1"/>
          <w:sz w:val="28"/>
          <w:szCs w:val="28"/>
        </w:rPr>
        <w:t>戶)</w:t>
      </w:r>
      <w:r w:rsidRPr="000C2EC0">
        <w:rPr>
          <w:rFonts w:ascii="標楷體" w:eastAsia="標楷體" w:hAnsi="標楷體" w:cs="Times New Roman"/>
          <w:color w:val="000000" w:themeColor="text1"/>
          <w:sz w:val="28"/>
          <w:szCs w:val="28"/>
        </w:rPr>
        <w:t>3</w:t>
      </w:r>
      <w:r w:rsidRPr="000C2EC0">
        <w:rPr>
          <w:rFonts w:ascii="標楷體" w:eastAsia="標楷體" w:hAnsi="標楷體" w:cs="Times New Roman" w:hint="eastAsia"/>
          <w:color w:val="000000" w:themeColor="text1"/>
          <w:sz w:val="28"/>
          <w:szCs w:val="28"/>
        </w:rPr>
        <w:t>,</w:t>
      </w:r>
      <w:r w:rsidRPr="000C2EC0">
        <w:rPr>
          <w:rFonts w:ascii="標楷體" w:eastAsia="標楷體" w:hAnsi="標楷體" w:cs="Times New Roman"/>
          <w:color w:val="000000" w:themeColor="text1"/>
          <w:sz w:val="28"/>
          <w:szCs w:val="28"/>
        </w:rPr>
        <w:t>736</w:t>
      </w:r>
      <w:r w:rsidRPr="000C2EC0">
        <w:rPr>
          <w:rFonts w:ascii="標楷體" w:eastAsia="標楷體" w:hAnsi="標楷體" w:cs="Times New Roman" w:hint="eastAsia"/>
          <w:color w:val="000000" w:themeColor="text1"/>
          <w:sz w:val="28"/>
          <w:szCs w:val="28"/>
        </w:rPr>
        <w:t>筆，面積1</w:t>
      </w:r>
      <w:r w:rsidRPr="000C2EC0">
        <w:rPr>
          <w:rFonts w:ascii="標楷體" w:eastAsia="標楷體" w:hAnsi="標楷體" w:cs="Times New Roman"/>
          <w:color w:val="000000" w:themeColor="text1"/>
          <w:sz w:val="28"/>
          <w:szCs w:val="28"/>
        </w:rPr>
        <w:t>6</w:t>
      </w:r>
      <w:r w:rsidRPr="000C2EC0">
        <w:rPr>
          <w:rFonts w:ascii="標楷體" w:eastAsia="標楷體" w:hAnsi="標楷體" w:cs="Times New Roman" w:hint="eastAsia"/>
          <w:color w:val="000000" w:themeColor="text1"/>
          <w:sz w:val="28"/>
          <w:szCs w:val="28"/>
        </w:rPr>
        <w:t>萬1,</w:t>
      </w:r>
      <w:r w:rsidRPr="000C2EC0">
        <w:rPr>
          <w:rFonts w:ascii="標楷體" w:eastAsia="標楷體" w:hAnsi="標楷體" w:cs="Times New Roman"/>
          <w:color w:val="000000" w:themeColor="text1"/>
          <w:sz w:val="28"/>
          <w:szCs w:val="28"/>
        </w:rPr>
        <w:t>681</w:t>
      </w:r>
      <w:r w:rsidRPr="000C2EC0">
        <w:rPr>
          <w:rFonts w:ascii="標楷體" w:eastAsia="標楷體" w:hAnsi="標楷體" w:cs="Times New Roman" w:hint="eastAsia"/>
          <w:color w:val="000000" w:themeColor="text1"/>
          <w:sz w:val="28"/>
          <w:szCs w:val="28"/>
        </w:rPr>
        <w:t>平方公尺。其餘案件(</w:t>
      </w:r>
      <w:r w:rsidRPr="000C2EC0">
        <w:rPr>
          <w:rFonts w:ascii="標楷體" w:eastAsia="標楷體" w:hAnsi="標楷體" w:cs="Times New Roman"/>
          <w:color w:val="000000" w:themeColor="text1"/>
          <w:sz w:val="28"/>
          <w:szCs w:val="28"/>
        </w:rPr>
        <w:t>538</w:t>
      </w:r>
      <w:r w:rsidRPr="000C2EC0">
        <w:rPr>
          <w:rFonts w:ascii="標楷體" w:eastAsia="標楷體" w:hAnsi="標楷體" w:cs="Times New Roman" w:hint="eastAsia"/>
          <w:color w:val="000000" w:themeColor="text1"/>
          <w:sz w:val="28"/>
          <w:szCs w:val="28"/>
        </w:rPr>
        <w:t>案)陸續審理中。</w:t>
      </w:r>
    </w:p>
    <w:p w:rsidR="003425EA" w:rsidRPr="000C2EC0" w:rsidRDefault="003425EA" w:rsidP="00682F92">
      <w:pPr>
        <w:adjustRightInd w:val="0"/>
        <w:spacing w:line="460" w:lineRule="exact"/>
        <w:ind w:leftChars="591" w:left="1841" w:right="113" w:hangingChars="151" w:hanging="423"/>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2.為促進新草衙地區土地處理自治條例的推動並落實市有地管理，擬自106年1月1日起於新草衙地區市有土地列冊開徵，並往前追收5年使用補償金。倘民眾無力一次繳清，得申請5年分期無息繳納5年使用補償金；如申購之土地合併達高雄市畸零地使用自治條例規定之建築基地最小面積寬度及深度者，可免繳納承購土地之5年使用補償金。</w:t>
      </w:r>
    </w:p>
    <w:p w:rsidR="003425EA" w:rsidRPr="000C2EC0" w:rsidRDefault="003425EA" w:rsidP="00682F92">
      <w:pPr>
        <w:suppressAutoHyphens/>
        <w:autoSpaceDN w:val="0"/>
        <w:adjustRightInd w:val="0"/>
        <w:spacing w:line="460" w:lineRule="exact"/>
        <w:ind w:leftChars="591" w:left="1841" w:right="113" w:hangingChars="151" w:hanging="423"/>
        <w:jc w:val="both"/>
        <w:textAlignment w:val="baseline"/>
        <w:rPr>
          <w:rFonts w:ascii="標楷體" w:eastAsia="標楷體" w:hAnsi="標楷體" w:cs="Times New Roman"/>
          <w:color w:val="000000" w:themeColor="text1"/>
          <w:kern w:val="3"/>
          <w:sz w:val="28"/>
          <w:szCs w:val="28"/>
        </w:rPr>
      </w:pPr>
      <w:r w:rsidRPr="000C2EC0">
        <w:rPr>
          <w:rFonts w:ascii="標楷體" w:eastAsia="標楷體" w:hAnsi="標楷體" w:cs="Times New Roman" w:hint="eastAsia"/>
          <w:color w:val="000000" w:themeColor="text1"/>
          <w:kern w:val="3"/>
          <w:sz w:val="28"/>
          <w:szCs w:val="28"/>
        </w:rPr>
        <w:lastRenderedPageBreak/>
        <w:t>3.新草衙地區市有土地總列冊管理3,104戶。截至109年6月12日提出申購者2</w:t>
      </w:r>
      <w:r w:rsidRPr="000C2EC0">
        <w:rPr>
          <w:rFonts w:ascii="標楷體" w:eastAsia="標楷體" w:hAnsi="標楷體" w:cs="Times New Roman"/>
          <w:color w:val="000000" w:themeColor="text1"/>
          <w:kern w:val="3"/>
          <w:sz w:val="28"/>
          <w:szCs w:val="28"/>
        </w:rPr>
        <w:t>,</w:t>
      </w:r>
      <w:r w:rsidRPr="000C2EC0">
        <w:rPr>
          <w:rFonts w:ascii="標楷體" w:eastAsia="標楷體" w:hAnsi="標楷體" w:cs="Times New Roman" w:hint="eastAsia"/>
          <w:color w:val="000000" w:themeColor="text1"/>
          <w:kern w:val="3"/>
          <w:sz w:val="28"/>
          <w:szCs w:val="28"/>
        </w:rPr>
        <w:t>482案(3</w:t>
      </w:r>
      <w:r w:rsidRPr="000C2EC0">
        <w:rPr>
          <w:rFonts w:ascii="標楷體" w:eastAsia="標楷體" w:hAnsi="標楷體" w:cs="Times New Roman"/>
          <w:color w:val="000000" w:themeColor="text1"/>
          <w:kern w:val="3"/>
          <w:sz w:val="28"/>
          <w:szCs w:val="28"/>
        </w:rPr>
        <w:t>,</w:t>
      </w:r>
      <w:r w:rsidRPr="000C2EC0">
        <w:rPr>
          <w:rFonts w:ascii="標楷體" w:eastAsia="標楷體" w:hAnsi="標楷體" w:cs="Times New Roman" w:hint="eastAsia"/>
          <w:color w:val="000000" w:themeColor="text1"/>
          <w:kern w:val="3"/>
          <w:sz w:val="28"/>
          <w:szCs w:val="28"/>
        </w:rPr>
        <w:t>221戶)，扣除重複申購328案(420戶)計送件申購2</w:t>
      </w:r>
      <w:r w:rsidRPr="000C2EC0">
        <w:rPr>
          <w:rFonts w:ascii="標楷體" w:eastAsia="標楷體" w:hAnsi="標楷體" w:cs="Times New Roman"/>
          <w:color w:val="000000" w:themeColor="text1"/>
          <w:kern w:val="3"/>
          <w:sz w:val="28"/>
          <w:szCs w:val="28"/>
        </w:rPr>
        <w:t>,</w:t>
      </w:r>
      <w:r w:rsidRPr="000C2EC0">
        <w:rPr>
          <w:rFonts w:ascii="標楷體" w:eastAsia="標楷體" w:hAnsi="標楷體" w:cs="Times New Roman" w:hint="eastAsia"/>
          <w:color w:val="000000" w:themeColor="text1"/>
          <w:kern w:val="3"/>
          <w:sz w:val="28"/>
          <w:szCs w:val="28"/>
        </w:rPr>
        <w:t>154案(</w:t>
      </w:r>
      <w:r w:rsidRPr="000C2EC0">
        <w:rPr>
          <w:rFonts w:ascii="標楷體" w:eastAsia="標楷體" w:hAnsi="標楷體" w:cs="Times New Roman"/>
          <w:color w:val="000000" w:themeColor="text1"/>
          <w:kern w:val="3"/>
          <w:sz w:val="28"/>
          <w:szCs w:val="28"/>
        </w:rPr>
        <w:t>2,801</w:t>
      </w:r>
      <w:r w:rsidRPr="000C2EC0">
        <w:rPr>
          <w:rFonts w:ascii="標楷體" w:eastAsia="標楷體" w:hAnsi="標楷體" w:cs="Times New Roman" w:hint="eastAsia"/>
          <w:color w:val="000000" w:themeColor="text1"/>
          <w:kern w:val="3"/>
          <w:sz w:val="28"/>
          <w:szCs w:val="28"/>
        </w:rPr>
        <w:t>戶)，承租者61戶，分期及正常繳納使用補償金者177戶(未申購合計303戶)，納入正常管理達9.79成，餘65戶依法訴追中。</w:t>
      </w:r>
    </w:p>
    <w:p w:rsidR="00A52886" w:rsidRPr="000C2EC0" w:rsidRDefault="00CF4238" w:rsidP="002C7CB8">
      <w:pPr>
        <w:pStyle w:val="affffffff6"/>
        <w:spacing w:beforeLines="50" w:before="180" w:after="0" w:line="440" w:lineRule="exact"/>
        <w:jc w:val="both"/>
        <w:rPr>
          <w:rFonts w:ascii="標楷體" w:eastAsia="標楷體" w:hAnsi="標楷體"/>
          <w:color w:val="000000" w:themeColor="text1"/>
          <w:sz w:val="32"/>
          <w:szCs w:val="32"/>
        </w:rPr>
      </w:pPr>
      <w:r w:rsidRPr="000C2EC0">
        <w:rPr>
          <w:rFonts w:ascii="標楷體" w:eastAsia="標楷體" w:hAnsi="標楷體" w:hint="eastAsia"/>
          <w:color w:val="000000" w:themeColor="text1"/>
          <w:sz w:val="32"/>
          <w:szCs w:val="32"/>
        </w:rPr>
        <w:t>六、市有非公用不動</w:t>
      </w:r>
      <w:r w:rsidR="00A52886" w:rsidRPr="000C2EC0">
        <w:rPr>
          <w:rFonts w:ascii="標楷體" w:eastAsia="標楷體" w:hAnsi="標楷體" w:hint="eastAsia"/>
          <w:color w:val="000000" w:themeColor="text1"/>
          <w:sz w:val="32"/>
          <w:szCs w:val="32"/>
        </w:rPr>
        <w:t>產開發</w:t>
      </w:r>
    </w:p>
    <w:p w:rsidR="004D1F36" w:rsidRPr="000C2EC0" w:rsidRDefault="004D1F36" w:rsidP="002C7CB8">
      <w:pPr>
        <w:adjustRightInd w:val="0"/>
        <w:spacing w:line="460" w:lineRule="exact"/>
        <w:ind w:leftChars="354" w:left="850" w:right="113"/>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本府財政局擔任促參案件窗口，協助各機關推動促參案件，除節省政府支出外，藉由引進民間資金，創造財政收入，並爭取促參獎勵金。</w:t>
      </w:r>
    </w:p>
    <w:p w:rsidR="004D1F36" w:rsidRPr="000C2EC0" w:rsidRDefault="004D1F36" w:rsidP="00794133">
      <w:pPr>
        <w:adjustRightInd w:val="0"/>
        <w:spacing w:line="460" w:lineRule="exact"/>
        <w:ind w:leftChars="354" w:left="1119" w:right="113" w:hangingChars="96" w:hanging="269"/>
        <w:jc w:val="both"/>
        <w:rPr>
          <w:rFonts w:ascii="標楷體" w:eastAsia="標楷體" w:hAnsi="標楷體" w:cs="Times New Roman"/>
          <w:color w:val="000000" w:themeColor="text1"/>
          <w:sz w:val="28"/>
          <w:szCs w:val="28"/>
        </w:rPr>
      </w:pPr>
      <w:r w:rsidRPr="000C2EC0">
        <w:rPr>
          <w:rFonts w:ascii="標楷體" w:eastAsia="標楷體" w:hAnsi="標楷體" w:cs="Times New Roman"/>
          <w:color w:val="000000" w:themeColor="text1"/>
          <w:sz w:val="28"/>
          <w:szCs w:val="28"/>
        </w:rPr>
        <w:t>(</w:t>
      </w:r>
      <w:r w:rsidRPr="000C2EC0">
        <w:rPr>
          <w:rFonts w:ascii="標楷體" w:eastAsia="標楷體" w:hAnsi="標楷體" w:cs="Times New Roman" w:hint="eastAsia"/>
          <w:color w:val="000000" w:themeColor="text1"/>
          <w:sz w:val="28"/>
          <w:szCs w:val="28"/>
        </w:rPr>
        <w:t>一)已簽約促參案件</w:t>
      </w:r>
    </w:p>
    <w:p w:rsidR="004D1F36" w:rsidRPr="000C2EC0" w:rsidRDefault="004D1F36" w:rsidP="00794133">
      <w:pPr>
        <w:adjustRightInd w:val="0"/>
        <w:spacing w:line="460" w:lineRule="exact"/>
        <w:ind w:leftChars="590" w:left="1416" w:right="113" w:firstLine="1"/>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已簽約之促參案件計2</w:t>
      </w:r>
      <w:r w:rsidRPr="000C2EC0">
        <w:rPr>
          <w:rFonts w:ascii="標楷體" w:eastAsia="標楷體" w:hAnsi="標楷體" w:cs="Times New Roman"/>
          <w:color w:val="000000" w:themeColor="text1"/>
          <w:sz w:val="28"/>
          <w:szCs w:val="28"/>
        </w:rPr>
        <w:t>2</w:t>
      </w:r>
      <w:r w:rsidRPr="000C2EC0">
        <w:rPr>
          <w:rFonts w:ascii="標楷體" w:eastAsia="標楷體" w:hAnsi="標楷體" w:cs="Times New Roman" w:hint="eastAsia"/>
          <w:color w:val="000000" w:themeColor="text1"/>
          <w:sz w:val="28"/>
          <w:szCs w:val="28"/>
        </w:rPr>
        <w:t>案，民間投資金額5</w:t>
      </w:r>
      <w:r w:rsidRPr="000C2EC0">
        <w:rPr>
          <w:rFonts w:ascii="標楷體" w:eastAsia="標楷體" w:hAnsi="標楷體" w:cs="Times New Roman"/>
          <w:color w:val="000000" w:themeColor="text1"/>
          <w:sz w:val="28"/>
          <w:szCs w:val="28"/>
        </w:rPr>
        <w:t>34.55</w:t>
      </w:r>
      <w:r w:rsidRPr="000C2EC0">
        <w:rPr>
          <w:rFonts w:ascii="標楷體" w:eastAsia="標楷體" w:hAnsi="標楷體" w:cs="Times New Roman" w:hint="eastAsia"/>
          <w:color w:val="000000" w:themeColor="text1"/>
          <w:sz w:val="28"/>
          <w:szCs w:val="28"/>
        </w:rPr>
        <w:t>億元，合約期間權利金及租金收入總計約12</w:t>
      </w:r>
      <w:r w:rsidRPr="000C2EC0">
        <w:rPr>
          <w:rFonts w:ascii="標楷體" w:eastAsia="標楷體" w:hAnsi="標楷體" w:cs="Times New Roman"/>
          <w:color w:val="000000" w:themeColor="text1"/>
          <w:sz w:val="28"/>
          <w:szCs w:val="28"/>
        </w:rPr>
        <w:t>4.35</w:t>
      </w:r>
      <w:r w:rsidRPr="000C2EC0">
        <w:rPr>
          <w:rFonts w:ascii="標楷體" w:eastAsia="標楷體" w:hAnsi="標楷體" w:cs="Times New Roman" w:hint="eastAsia"/>
          <w:color w:val="000000" w:themeColor="text1"/>
          <w:sz w:val="28"/>
          <w:szCs w:val="28"/>
        </w:rPr>
        <w:t>億元，獲財政部頒發促參獎勵金約2.</w:t>
      </w:r>
      <w:r w:rsidRPr="000C2EC0">
        <w:rPr>
          <w:rFonts w:ascii="標楷體" w:eastAsia="標楷體" w:hAnsi="標楷體" w:cs="Times New Roman"/>
          <w:color w:val="000000" w:themeColor="text1"/>
          <w:sz w:val="28"/>
          <w:szCs w:val="28"/>
        </w:rPr>
        <w:t>51</w:t>
      </w:r>
      <w:r w:rsidRPr="000C2EC0">
        <w:rPr>
          <w:rFonts w:ascii="標楷體" w:eastAsia="標楷體" w:hAnsi="標楷體" w:cs="Times New Roman" w:hint="eastAsia"/>
          <w:color w:val="000000" w:themeColor="text1"/>
          <w:sz w:val="28"/>
          <w:szCs w:val="28"/>
        </w:rPr>
        <w:t>億元。</w:t>
      </w:r>
    </w:p>
    <w:p w:rsidR="004D1F36" w:rsidRPr="000C2EC0" w:rsidRDefault="004D1F36" w:rsidP="00794133">
      <w:pPr>
        <w:adjustRightInd w:val="0"/>
        <w:spacing w:line="460" w:lineRule="exact"/>
        <w:ind w:leftChars="354" w:left="1119" w:right="113" w:hangingChars="96" w:hanging="269"/>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(二)辦理中促參案件</w:t>
      </w:r>
    </w:p>
    <w:p w:rsidR="004D1F36" w:rsidRPr="000C2EC0" w:rsidRDefault="004D1F36" w:rsidP="00794133">
      <w:pPr>
        <w:adjustRightInd w:val="0"/>
        <w:spacing w:line="460" w:lineRule="exact"/>
        <w:ind w:leftChars="590" w:left="1416" w:right="113"/>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辦理中促參案件計1</w:t>
      </w:r>
      <w:r w:rsidRPr="000C2EC0">
        <w:rPr>
          <w:rFonts w:ascii="標楷體" w:eastAsia="標楷體" w:hAnsi="標楷體" w:cs="Times New Roman"/>
          <w:color w:val="000000" w:themeColor="text1"/>
          <w:sz w:val="28"/>
          <w:szCs w:val="28"/>
        </w:rPr>
        <w:t>3</w:t>
      </w:r>
      <w:r w:rsidRPr="000C2EC0">
        <w:rPr>
          <w:rFonts w:ascii="標楷體" w:eastAsia="標楷體" w:hAnsi="標楷體" w:cs="Times New Roman" w:hint="eastAsia"/>
          <w:color w:val="000000" w:themeColor="text1"/>
          <w:sz w:val="28"/>
          <w:szCs w:val="28"/>
        </w:rPr>
        <w:t>案，預估民間投資金額約1</w:t>
      </w:r>
      <w:r w:rsidRPr="000C2EC0">
        <w:rPr>
          <w:rFonts w:ascii="標楷體" w:eastAsia="標楷體" w:hAnsi="標楷體" w:cs="Times New Roman"/>
          <w:color w:val="000000" w:themeColor="text1"/>
          <w:sz w:val="28"/>
          <w:szCs w:val="28"/>
        </w:rPr>
        <w:t>23.77</w:t>
      </w:r>
      <w:r w:rsidRPr="000C2EC0">
        <w:rPr>
          <w:rFonts w:ascii="標楷體" w:eastAsia="標楷體" w:hAnsi="標楷體" w:cs="Times New Roman" w:hint="eastAsia"/>
          <w:color w:val="000000" w:themeColor="text1"/>
          <w:sz w:val="28"/>
          <w:szCs w:val="28"/>
        </w:rPr>
        <w:t>億元，預估權利金及租金收入總計約8</w:t>
      </w:r>
      <w:r w:rsidRPr="000C2EC0">
        <w:rPr>
          <w:rFonts w:ascii="標楷體" w:eastAsia="標楷體" w:hAnsi="標楷體" w:cs="Times New Roman"/>
          <w:color w:val="000000" w:themeColor="text1"/>
          <w:sz w:val="28"/>
          <w:szCs w:val="28"/>
        </w:rPr>
        <w:t>0.31</w:t>
      </w:r>
      <w:r w:rsidRPr="000C2EC0">
        <w:rPr>
          <w:rFonts w:ascii="標楷體" w:eastAsia="標楷體" w:hAnsi="標楷體" w:cs="Times New Roman" w:hint="eastAsia"/>
          <w:color w:val="000000" w:themeColor="text1"/>
          <w:sz w:val="28"/>
          <w:szCs w:val="28"/>
        </w:rPr>
        <w:t>億元。</w:t>
      </w:r>
    </w:p>
    <w:p w:rsidR="004D1F36" w:rsidRPr="000C2EC0" w:rsidRDefault="004D1F36" w:rsidP="00794133">
      <w:pPr>
        <w:adjustRightInd w:val="0"/>
        <w:spacing w:line="460" w:lineRule="exact"/>
        <w:ind w:leftChars="354" w:left="1119" w:right="113" w:hangingChars="96" w:hanging="269"/>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(三)已簽約開發案件</w:t>
      </w:r>
    </w:p>
    <w:p w:rsidR="004D1F36" w:rsidRPr="000C2EC0" w:rsidRDefault="004D1F36" w:rsidP="00794133">
      <w:pPr>
        <w:adjustRightInd w:val="0"/>
        <w:spacing w:line="460" w:lineRule="exact"/>
        <w:ind w:leftChars="590" w:left="1416" w:right="113" w:firstLine="1"/>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已簽約開發案件計1</w:t>
      </w:r>
      <w:r w:rsidRPr="000C2EC0">
        <w:rPr>
          <w:rFonts w:ascii="標楷體" w:eastAsia="標楷體" w:hAnsi="標楷體" w:cs="Times New Roman"/>
          <w:color w:val="000000" w:themeColor="text1"/>
          <w:sz w:val="28"/>
          <w:szCs w:val="28"/>
        </w:rPr>
        <w:t>8</w:t>
      </w:r>
      <w:r w:rsidRPr="000C2EC0">
        <w:rPr>
          <w:rFonts w:ascii="標楷體" w:eastAsia="標楷體" w:hAnsi="標楷體" w:cs="Times New Roman" w:hint="eastAsia"/>
          <w:color w:val="000000" w:themeColor="text1"/>
          <w:sz w:val="28"/>
          <w:szCs w:val="28"/>
        </w:rPr>
        <w:t>案，預估民間投資金額約</w:t>
      </w:r>
      <w:r w:rsidRPr="000C2EC0">
        <w:rPr>
          <w:rFonts w:ascii="標楷體" w:eastAsia="標楷體" w:hAnsi="標楷體" w:cs="Times New Roman" w:hint="eastAsia"/>
          <w:bCs/>
          <w:color w:val="000000" w:themeColor="text1"/>
          <w:sz w:val="28"/>
          <w:szCs w:val="28"/>
        </w:rPr>
        <w:t>757.</w:t>
      </w:r>
      <w:r w:rsidRPr="000C2EC0">
        <w:rPr>
          <w:rFonts w:ascii="標楷體" w:eastAsia="標楷體" w:hAnsi="標楷體" w:cs="Times New Roman"/>
          <w:bCs/>
          <w:color w:val="000000" w:themeColor="text1"/>
          <w:sz w:val="28"/>
          <w:szCs w:val="28"/>
        </w:rPr>
        <w:t>28</w:t>
      </w:r>
      <w:r w:rsidRPr="000C2EC0">
        <w:rPr>
          <w:rFonts w:ascii="標楷體" w:eastAsia="標楷體" w:hAnsi="標楷體" w:cs="Times New Roman" w:hint="eastAsia"/>
          <w:color w:val="000000" w:themeColor="text1"/>
          <w:sz w:val="28"/>
          <w:szCs w:val="28"/>
        </w:rPr>
        <w:t>億元，預估權利金及租金收入總計約147.5億元，獲財政部頒發促參獎勵金約1.05億元。</w:t>
      </w:r>
    </w:p>
    <w:p w:rsidR="004D1F36" w:rsidRPr="000C2EC0" w:rsidRDefault="004D1F36" w:rsidP="00794133">
      <w:pPr>
        <w:adjustRightInd w:val="0"/>
        <w:spacing w:line="460" w:lineRule="exact"/>
        <w:ind w:leftChars="354" w:left="1119" w:right="113" w:hangingChars="96" w:hanging="269"/>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(四)辦理中開發案件</w:t>
      </w:r>
    </w:p>
    <w:p w:rsidR="004D1F36" w:rsidRPr="000C2EC0" w:rsidRDefault="004D1F36" w:rsidP="00794133">
      <w:pPr>
        <w:adjustRightInd w:val="0"/>
        <w:spacing w:line="460" w:lineRule="exact"/>
        <w:ind w:leftChars="590" w:left="1416" w:right="113" w:firstLine="1"/>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辦理中開發案件計14案，預估民間投資金額約6</w:t>
      </w:r>
      <w:r w:rsidRPr="000C2EC0">
        <w:rPr>
          <w:rFonts w:ascii="標楷體" w:eastAsia="標楷體" w:hAnsi="標楷體" w:cs="Times New Roman"/>
          <w:color w:val="000000" w:themeColor="text1"/>
          <w:sz w:val="28"/>
          <w:szCs w:val="28"/>
        </w:rPr>
        <w:t>35.41</w:t>
      </w:r>
      <w:r w:rsidRPr="000C2EC0">
        <w:rPr>
          <w:rFonts w:ascii="標楷體" w:eastAsia="標楷體" w:hAnsi="標楷體" w:cs="Times New Roman" w:hint="eastAsia"/>
          <w:color w:val="000000" w:themeColor="text1"/>
          <w:sz w:val="28"/>
          <w:szCs w:val="28"/>
        </w:rPr>
        <w:t>億元，預估權利金及租金收入總計約2</w:t>
      </w:r>
      <w:r w:rsidRPr="000C2EC0">
        <w:rPr>
          <w:rFonts w:ascii="標楷體" w:eastAsia="標楷體" w:hAnsi="標楷體" w:cs="Times New Roman"/>
          <w:color w:val="000000" w:themeColor="text1"/>
          <w:sz w:val="28"/>
          <w:szCs w:val="28"/>
        </w:rPr>
        <w:t>85.38</w:t>
      </w:r>
      <w:r w:rsidRPr="000C2EC0">
        <w:rPr>
          <w:rFonts w:ascii="標楷體" w:eastAsia="標楷體" w:hAnsi="標楷體" w:cs="Times New Roman" w:hint="eastAsia"/>
          <w:color w:val="000000" w:themeColor="text1"/>
          <w:sz w:val="28"/>
          <w:szCs w:val="28"/>
        </w:rPr>
        <w:t>億元。</w:t>
      </w:r>
    </w:p>
    <w:p w:rsidR="000C2EC0" w:rsidRPr="000C2EC0" w:rsidRDefault="000C2EC0" w:rsidP="000C2EC0">
      <w:pPr>
        <w:adjustRightInd w:val="0"/>
        <w:spacing w:line="460" w:lineRule="exact"/>
        <w:ind w:leftChars="354" w:left="1119" w:right="113" w:hangingChars="96" w:hanging="269"/>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(五)協助各機關爭取促參前置作業費補助</w:t>
      </w:r>
    </w:p>
    <w:p w:rsidR="000C2EC0" w:rsidRPr="000C2EC0" w:rsidRDefault="000C2EC0" w:rsidP="000C2EC0">
      <w:pPr>
        <w:adjustRightInd w:val="0"/>
        <w:spacing w:line="460" w:lineRule="exact"/>
        <w:ind w:leftChars="590" w:left="1416" w:right="113" w:firstLine="1"/>
        <w:jc w:val="both"/>
        <w:rPr>
          <w:rFonts w:ascii="標楷體" w:eastAsia="標楷體" w:hAnsi="標楷體" w:cs="Times New Roman"/>
          <w:color w:val="000000" w:themeColor="text1"/>
          <w:sz w:val="28"/>
          <w:szCs w:val="28"/>
        </w:rPr>
      </w:pPr>
      <w:r w:rsidRPr="000C2EC0">
        <w:rPr>
          <w:rFonts w:ascii="標楷體" w:eastAsia="標楷體" w:hAnsi="標楷體" w:cs="Times New Roman" w:hint="eastAsia"/>
          <w:color w:val="000000" w:themeColor="text1"/>
          <w:sz w:val="28"/>
          <w:szCs w:val="28"/>
        </w:rPr>
        <w:t>截至目前獲財政部核准促參前置作業費補助計2</w:t>
      </w:r>
      <w:r w:rsidRPr="000C2EC0">
        <w:rPr>
          <w:rFonts w:ascii="標楷體" w:eastAsia="標楷體" w:hAnsi="標楷體" w:cs="Times New Roman"/>
          <w:color w:val="000000" w:themeColor="text1"/>
          <w:sz w:val="28"/>
          <w:szCs w:val="28"/>
        </w:rPr>
        <w:t>3</w:t>
      </w:r>
      <w:r w:rsidRPr="000C2EC0">
        <w:rPr>
          <w:rFonts w:ascii="標楷體" w:eastAsia="標楷體" w:hAnsi="標楷體" w:cs="Times New Roman" w:hint="eastAsia"/>
          <w:color w:val="000000" w:themeColor="text1"/>
          <w:sz w:val="28"/>
          <w:szCs w:val="28"/>
        </w:rPr>
        <w:t>案，同意補助金額3,</w:t>
      </w:r>
      <w:r w:rsidRPr="000C2EC0">
        <w:rPr>
          <w:rFonts w:ascii="標楷體" w:eastAsia="標楷體" w:hAnsi="標楷體" w:cs="Times New Roman"/>
          <w:color w:val="000000" w:themeColor="text1"/>
          <w:sz w:val="28"/>
          <w:szCs w:val="28"/>
        </w:rPr>
        <w:t>988</w:t>
      </w:r>
      <w:r w:rsidRPr="000C2EC0">
        <w:rPr>
          <w:rFonts w:ascii="標楷體" w:eastAsia="標楷體" w:hAnsi="標楷體" w:cs="Times New Roman" w:hint="eastAsia"/>
          <w:color w:val="000000" w:themeColor="text1"/>
          <w:sz w:val="28"/>
          <w:szCs w:val="28"/>
        </w:rPr>
        <w:t>萬元，後續本府財政局仍將持續協助各機關積極辦理促參案件，爭取促參前置作業費補助。</w:t>
      </w:r>
    </w:p>
    <w:p w:rsidR="00A52886" w:rsidRPr="000C2EC0" w:rsidRDefault="00A52886" w:rsidP="002C7CB8">
      <w:pPr>
        <w:pStyle w:val="affffffff6"/>
        <w:spacing w:beforeLines="50" w:before="180" w:after="0" w:line="440" w:lineRule="exact"/>
        <w:jc w:val="both"/>
        <w:rPr>
          <w:rFonts w:ascii="標楷體" w:eastAsia="標楷體" w:hAnsi="標楷體"/>
          <w:color w:val="000000" w:themeColor="text1"/>
          <w:sz w:val="32"/>
          <w:szCs w:val="32"/>
        </w:rPr>
      </w:pPr>
      <w:r w:rsidRPr="000C2EC0">
        <w:rPr>
          <w:rFonts w:ascii="標楷體" w:eastAsia="標楷體" w:hAnsi="標楷體" w:hint="eastAsia"/>
          <w:color w:val="000000" w:themeColor="text1"/>
          <w:sz w:val="32"/>
          <w:szCs w:val="32"/>
        </w:rPr>
        <w:t>七、集中支付作業管理</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olor w:val="000000" w:themeColor="text1"/>
          <w:sz w:val="28"/>
          <w:szCs w:val="28"/>
        </w:rPr>
      </w:pPr>
      <w:r w:rsidRPr="000C2EC0">
        <w:rPr>
          <w:rFonts w:ascii="標楷體" w:eastAsia="標楷體" w:hAnsi="標楷體" w:hint="eastAsia"/>
          <w:color w:val="000000" w:themeColor="text1"/>
          <w:sz w:val="28"/>
          <w:szCs w:val="28"/>
        </w:rPr>
        <w:t>支付資料複核、簽放作業</w:t>
      </w:r>
    </w:p>
    <w:p w:rsidR="00755D69" w:rsidRPr="000C2EC0" w:rsidRDefault="00755D69" w:rsidP="000D5667">
      <w:pPr>
        <w:widowControl/>
        <w:adjustRightInd w:val="0"/>
        <w:snapToGrid w:val="0"/>
        <w:spacing w:line="460" w:lineRule="exact"/>
        <w:ind w:leftChars="650" w:left="1560" w:rightChars="-20" w:right="-48"/>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color w:val="000000" w:themeColor="text1"/>
          <w:kern w:val="0"/>
          <w:sz w:val="28"/>
          <w:szCs w:val="28"/>
        </w:rPr>
        <w:lastRenderedPageBreak/>
        <w:t>10</w:t>
      </w:r>
      <w:r w:rsidRPr="000C2EC0">
        <w:rPr>
          <w:rFonts w:ascii="標楷體" w:eastAsia="標楷體" w:hAnsi="標楷體" w:cs="Times New Roman" w:hint="eastAsia"/>
          <w:color w:val="000000" w:themeColor="text1"/>
          <w:kern w:val="0"/>
          <w:sz w:val="28"/>
          <w:szCs w:val="28"/>
        </w:rPr>
        <w:t>9年度截至6月底止支付筆數共</w:t>
      </w:r>
      <w:r w:rsidRPr="000C2EC0">
        <w:rPr>
          <w:rFonts w:ascii="標楷體" w:eastAsia="標楷體" w:hAnsi="標楷體" w:cs="Times New Roman"/>
          <w:color w:val="000000" w:themeColor="text1"/>
          <w:kern w:val="0"/>
          <w:sz w:val="28"/>
          <w:szCs w:val="28"/>
        </w:rPr>
        <w:t>1</w:t>
      </w:r>
      <w:r w:rsidRPr="000C2EC0">
        <w:rPr>
          <w:rFonts w:ascii="標楷體" w:eastAsia="標楷體" w:hAnsi="標楷體" w:cs="Times New Roman" w:hint="eastAsia"/>
          <w:color w:val="000000" w:themeColor="text1"/>
          <w:kern w:val="0"/>
          <w:sz w:val="28"/>
          <w:szCs w:val="28"/>
        </w:rPr>
        <w:t>6萬1,569筆，支付淨額2,</w:t>
      </w:r>
      <w:r w:rsidRPr="000C2EC0">
        <w:rPr>
          <w:rFonts w:ascii="標楷體" w:eastAsia="標楷體" w:hAnsi="標楷體" w:cs="Times New Roman"/>
          <w:color w:val="000000" w:themeColor="text1"/>
          <w:kern w:val="0"/>
          <w:sz w:val="28"/>
          <w:szCs w:val="28"/>
        </w:rPr>
        <w:t>136</w:t>
      </w:r>
      <w:r w:rsidRPr="000C2EC0">
        <w:rPr>
          <w:rFonts w:ascii="標楷體" w:eastAsia="標楷體" w:hAnsi="標楷體" w:cs="Times New Roman" w:hint="eastAsia"/>
          <w:color w:val="000000" w:themeColor="text1"/>
          <w:kern w:val="0"/>
          <w:sz w:val="28"/>
          <w:szCs w:val="28"/>
        </w:rPr>
        <w:t>億8,692萬8,330元。</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hint="eastAsia"/>
          <w:color w:val="000000" w:themeColor="text1"/>
          <w:sz w:val="28"/>
          <w:szCs w:val="28"/>
        </w:rPr>
        <w:t>賡續宣導通匯存帳作業，以降低市庫支票簽發張數</w:t>
      </w:r>
    </w:p>
    <w:p w:rsidR="00755D69" w:rsidRPr="000C2EC0" w:rsidRDefault="00755D69" w:rsidP="000D5667">
      <w:pPr>
        <w:widowControl/>
        <w:adjustRightInd w:val="0"/>
        <w:snapToGrid w:val="0"/>
        <w:spacing w:line="460" w:lineRule="exact"/>
        <w:ind w:left="1560" w:rightChars="-20" w:right="-48"/>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109年度截至6月底止存帳付款比率提升至9</w:t>
      </w:r>
      <w:r w:rsidRPr="000C2EC0">
        <w:rPr>
          <w:rFonts w:ascii="標楷體" w:eastAsia="標楷體" w:hAnsi="標楷體" w:cs="Times New Roman"/>
          <w:color w:val="000000" w:themeColor="text1"/>
          <w:kern w:val="0"/>
          <w:sz w:val="28"/>
          <w:szCs w:val="28"/>
        </w:rPr>
        <w:t>9</w:t>
      </w:r>
      <w:r w:rsidRPr="000C2EC0">
        <w:rPr>
          <w:rFonts w:ascii="標楷體" w:eastAsia="標楷體" w:hAnsi="標楷體" w:cs="Times New Roman" w:hint="eastAsia"/>
          <w:color w:val="000000" w:themeColor="text1"/>
          <w:kern w:val="0"/>
          <w:sz w:val="28"/>
          <w:szCs w:val="28"/>
        </w:rPr>
        <w:t>.41％，較去年同期增加0.</w:t>
      </w:r>
      <w:r w:rsidRPr="000C2EC0">
        <w:rPr>
          <w:rFonts w:ascii="標楷體" w:eastAsia="標楷體" w:hAnsi="標楷體" w:cs="Times New Roman"/>
          <w:color w:val="000000" w:themeColor="text1"/>
          <w:kern w:val="0"/>
          <w:sz w:val="28"/>
          <w:szCs w:val="28"/>
        </w:rPr>
        <w:t>24</w:t>
      </w:r>
      <w:r w:rsidRPr="000C2EC0">
        <w:rPr>
          <w:rFonts w:ascii="標楷體" w:eastAsia="標楷體" w:hAnsi="標楷體" w:cs="Times New Roman" w:hint="eastAsia"/>
          <w:color w:val="000000" w:themeColor="text1"/>
          <w:kern w:val="0"/>
          <w:sz w:val="28"/>
          <w:szCs w:val="28"/>
        </w:rPr>
        <w:t>％。</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因應公務預算109年度中央及地方預算科目編碼統一，業配合修正集中支付系統，順利無縫接軌上線。</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強化市庫集中支付電子化作業功能，提供正確、迅速付款服</w:t>
      </w:r>
      <w:r w:rsidR="00726382">
        <w:rPr>
          <w:rFonts w:ascii="標楷體" w:eastAsia="標楷體" w:hAnsi="標楷體" w:cs="Times New Roman" w:hint="eastAsia"/>
          <w:color w:val="000000" w:themeColor="text1"/>
          <w:kern w:val="0"/>
          <w:sz w:val="28"/>
          <w:szCs w:val="28"/>
        </w:rPr>
        <w:t>務</w:t>
      </w:r>
      <w:bookmarkStart w:id="5" w:name="_GoBack"/>
      <w:bookmarkEnd w:id="5"/>
      <w:r w:rsidRPr="000C2EC0">
        <w:rPr>
          <w:rFonts w:ascii="標楷體" w:eastAsia="標楷體" w:hAnsi="標楷體" w:cs="Times New Roman" w:hint="eastAsia"/>
          <w:color w:val="000000" w:themeColor="text1"/>
          <w:kern w:val="0"/>
          <w:sz w:val="28"/>
          <w:szCs w:val="28"/>
        </w:rPr>
        <w:t>，109年截至6月底止簽放之費款中95.94％於當日存入受款人帳戶。</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10</w:t>
      </w:r>
      <w:r w:rsidRPr="000C2EC0">
        <w:rPr>
          <w:rFonts w:ascii="標楷體" w:eastAsia="標楷體" w:hAnsi="標楷體" w:cs="Times New Roman"/>
          <w:color w:val="000000" w:themeColor="text1"/>
          <w:kern w:val="0"/>
          <w:sz w:val="28"/>
          <w:szCs w:val="28"/>
        </w:rPr>
        <w:t>9</w:t>
      </w:r>
      <w:r w:rsidRPr="000C2EC0">
        <w:rPr>
          <w:rFonts w:ascii="標楷體" w:eastAsia="標楷體" w:hAnsi="標楷體" w:cs="Times New Roman" w:hint="eastAsia"/>
          <w:color w:val="000000" w:themeColor="text1"/>
          <w:kern w:val="0"/>
          <w:sz w:val="28"/>
          <w:szCs w:val="28"/>
        </w:rPr>
        <w:t>年6月底納入集中支付特種基金餘額約247.7億元、保管款餘額約172.5億元，</w:t>
      </w:r>
      <w:r w:rsidRPr="000C2EC0">
        <w:rPr>
          <w:rFonts w:ascii="標楷體" w:eastAsia="標楷體" w:hAnsi="標楷體" w:cs="Times New Roman" w:hint="eastAsia"/>
          <w:color w:val="000000" w:themeColor="text1"/>
          <w:kern w:val="0"/>
          <w:sz w:val="28"/>
          <w:szCs w:val="28"/>
          <w:lang w:eastAsia="zh-HK"/>
        </w:rPr>
        <w:t>靈活市</w:t>
      </w:r>
      <w:r w:rsidRPr="000C2EC0">
        <w:rPr>
          <w:rFonts w:ascii="標楷體" w:eastAsia="標楷體" w:hAnsi="標楷體" w:cs="Times New Roman" w:hint="eastAsia"/>
          <w:color w:val="000000" w:themeColor="text1"/>
          <w:kern w:val="0"/>
          <w:sz w:val="28"/>
          <w:szCs w:val="28"/>
        </w:rPr>
        <w:t>庫調度。</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rPr>
        <w:t>依據「</w:t>
      </w:r>
      <w:r w:rsidRPr="000C2EC0">
        <w:rPr>
          <w:rFonts w:ascii="標楷體" w:eastAsia="標楷體" w:hAnsi="標楷體" w:cs="Times New Roman"/>
          <w:color w:val="000000" w:themeColor="text1"/>
          <w:kern w:val="0"/>
          <w:sz w:val="28"/>
          <w:szCs w:val="28"/>
        </w:rPr>
        <w:t>109</w:t>
      </w:r>
      <w:r w:rsidRPr="000C2EC0">
        <w:rPr>
          <w:rFonts w:ascii="標楷體" w:eastAsia="標楷體" w:hAnsi="標楷體" w:cs="Times New Roman" w:hint="eastAsia"/>
          <w:color w:val="000000" w:themeColor="text1"/>
          <w:kern w:val="0"/>
          <w:sz w:val="28"/>
          <w:szCs w:val="28"/>
        </w:rPr>
        <w:t>年度辦理高雄銀行代理簽發市庫支票情形暨高雄市市庫集中支付電子作業安全控管查核計畫」各查核2次，俾達安全控管之效。</w:t>
      </w:r>
    </w:p>
    <w:p w:rsidR="00755D69" w:rsidRPr="000C2EC0" w:rsidRDefault="00755D69" w:rsidP="000D5667">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0C2EC0">
        <w:rPr>
          <w:rFonts w:ascii="標楷體" w:eastAsia="標楷體" w:hAnsi="標楷體" w:cs="Times New Roman" w:hint="eastAsia"/>
          <w:color w:val="000000" w:themeColor="text1"/>
          <w:kern w:val="0"/>
          <w:sz w:val="28"/>
          <w:szCs w:val="28"/>
          <w:lang w:eastAsia="zh-HK"/>
        </w:rPr>
        <w:t>為</w:t>
      </w:r>
      <w:r w:rsidRPr="000C2EC0">
        <w:rPr>
          <w:rFonts w:ascii="標楷體" w:eastAsia="標楷體" w:hAnsi="標楷體" w:cs="Times New Roman" w:hint="eastAsia"/>
          <w:color w:val="000000" w:themeColor="text1"/>
          <w:kern w:val="0"/>
          <w:sz w:val="28"/>
          <w:szCs w:val="28"/>
        </w:rPr>
        <w:t>精進支付系統服務</w:t>
      </w:r>
      <w:r w:rsidRPr="000C2EC0">
        <w:rPr>
          <w:rFonts w:ascii="新細明體" w:hAnsi="新細明體" w:cs="Times New Roman" w:hint="eastAsia"/>
          <w:color w:val="000000" w:themeColor="text1"/>
          <w:kern w:val="0"/>
          <w:sz w:val="28"/>
          <w:szCs w:val="28"/>
        </w:rPr>
        <w:t>，</w:t>
      </w:r>
      <w:r w:rsidRPr="000C2EC0">
        <w:rPr>
          <w:rFonts w:ascii="標楷體" w:eastAsia="標楷體" w:hAnsi="標楷體" w:cs="Times New Roman" w:hint="eastAsia"/>
          <w:color w:val="000000" w:themeColor="text1"/>
          <w:kern w:val="0"/>
          <w:sz w:val="28"/>
          <w:szCs w:val="28"/>
        </w:rPr>
        <w:t>函文各支用機關填報支付系統使用意見，</w:t>
      </w:r>
      <w:r w:rsidRPr="000C2EC0">
        <w:rPr>
          <w:rFonts w:ascii="標楷體" w:eastAsia="標楷體" w:hAnsi="標楷體" w:cs="Times New Roman" w:hint="eastAsia"/>
          <w:color w:val="000000" w:themeColor="text1"/>
          <w:kern w:val="0"/>
          <w:sz w:val="28"/>
          <w:szCs w:val="28"/>
          <w:lang w:eastAsia="zh-HK"/>
        </w:rPr>
        <w:t>並</w:t>
      </w:r>
      <w:r w:rsidRPr="000C2EC0">
        <w:rPr>
          <w:rFonts w:ascii="標楷體" w:eastAsia="標楷體" w:hAnsi="標楷體" w:cs="Times New Roman" w:hint="eastAsia"/>
          <w:color w:val="000000" w:themeColor="text1"/>
          <w:kern w:val="0"/>
          <w:sz w:val="28"/>
          <w:szCs w:val="28"/>
        </w:rPr>
        <w:t>將滿意度調查結果及使用意見調查彙整表提供高</w:t>
      </w:r>
      <w:r w:rsidRPr="000C2EC0">
        <w:rPr>
          <w:rFonts w:ascii="標楷體" w:eastAsia="標楷體" w:hAnsi="標楷體" w:cs="Times New Roman" w:hint="eastAsia"/>
          <w:color w:val="000000" w:themeColor="text1"/>
          <w:kern w:val="0"/>
          <w:sz w:val="28"/>
          <w:szCs w:val="28"/>
          <w:lang w:eastAsia="zh-HK"/>
        </w:rPr>
        <w:t>雄</w:t>
      </w:r>
      <w:r w:rsidRPr="000C2EC0">
        <w:rPr>
          <w:rFonts w:ascii="標楷體" w:eastAsia="標楷體" w:hAnsi="標楷體" w:cs="Times New Roman" w:hint="eastAsia"/>
          <w:color w:val="000000" w:themeColor="text1"/>
          <w:kern w:val="0"/>
          <w:sz w:val="28"/>
          <w:szCs w:val="28"/>
        </w:rPr>
        <w:t>銀</w:t>
      </w:r>
      <w:r w:rsidRPr="000C2EC0">
        <w:rPr>
          <w:rFonts w:ascii="標楷體" w:eastAsia="標楷體" w:hAnsi="標楷體" w:cs="Times New Roman" w:hint="eastAsia"/>
          <w:color w:val="000000" w:themeColor="text1"/>
          <w:kern w:val="0"/>
          <w:sz w:val="28"/>
          <w:szCs w:val="28"/>
          <w:lang w:eastAsia="zh-HK"/>
        </w:rPr>
        <w:t>行</w:t>
      </w:r>
      <w:r w:rsidRPr="000C2EC0">
        <w:rPr>
          <w:rFonts w:ascii="標楷體" w:eastAsia="標楷體" w:hAnsi="標楷體" w:cs="Times New Roman" w:hint="eastAsia"/>
          <w:color w:val="000000" w:themeColor="text1"/>
          <w:kern w:val="0"/>
          <w:sz w:val="28"/>
          <w:szCs w:val="28"/>
        </w:rPr>
        <w:t>作為系統增修參考。</w:t>
      </w:r>
    </w:p>
    <w:p w:rsidR="000C2EC0" w:rsidRPr="00682F92" w:rsidRDefault="00755D69" w:rsidP="00637778">
      <w:pPr>
        <w:widowControl/>
        <w:numPr>
          <w:ilvl w:val="0"/>
          <w:numId w:val="12"/>
        </w:numPr>
        <w:adjustRightInd w:val="0"/>
        <w:snapToGrid w:val="0"/>
        <w:spacing w:line="460" w:lineRule="exact"/>
        <w:ind w:left="1560" w:rightChars="-20" w:right="-48" w:hanging="993"/>
        <w:jc w:val="both"/>
        <w:rPr>
          <w:rFonts w:ascii="標楷體" w:eastAsia="標楷體" w:hAnsi="標楷體" w:cs="Times New Roman"/>
          <w:color w:val="000000" w:themeColor="text1"/>
          <w:kern w:val="0"/>
          <w:sz w:val="28"/>
          <w:szCs w:val="28"/>
        </w:rPr>
      </w:pPr>
      <w:r w:rsidRPr="00682F92">
        <w:rPr>
          <w:rFonts w:ascii="標楷體" w:eastAsia="標楷體" w:hAnsi="標楷體" w:cs="Times New Roman" w:hint="eastAsia"/>
          <w:color w:val="000000" w:themeColor="text1"/>
          <w:kern w:val="0"/>
          <w:sz w:val="28"/>
          <w:szCs w:val="28"/>
        </w:rPr>
        <w:t>加強支付系統安控，</w:t>
      </w:r>
      <w:r w:rsidRPr="00682F92">
        <w:rPr>
          <w:rFonts w:ascii="標楷體" w:eastAsia="標楷體" w:hAnsi="標楷體" w:cs="Times New Roman" w:hint="eastAsia"/>
          <w:color w:val="000000" w:themeColor="text1"/>
          <w:kern w:val="0"/>
          <w:sz w:val="28"/>
          <w:szCs w:val="28"/>
          <w:lang w:eastAsia="zh-HK"/>
        </w:rPr>
        <w:t>自</w:t>
      </w:r>
      <w:r w:rsidRPr="00682F92">
        <w:rPr>
          <w:rFonts w:ascii="標楷體" w:eastAsia="標楷體" w:hAnsi="標楷體" w:cs="Times New Roman" w:hint="eastAsia"/>
          <w:color w:val="000000" w:themeColor="text1"/>
          <w:kern w:val="0"/>
          <w:sz w:val="28"/>
          <w:szCs w:val="28"/>
        </w:rPr>
        <w:t>109年4月</w:t>
      </w:r>
      <w:r w:rsidRPr="00682F92">
        <w:rPr>
          <w:rFonts w:ascii="標楷體" w:eastAsia="標楷體" w:hAnsi="標楷體" w:cs="Times New Roman" w:hint="eastAsia"/>
          <w:color w:val="000000" w:themeColor="text1"/>
          <w:kern w:val="0"/>
          <w:sz w:val="28"/>
          <w:szCs w:val="28"/>
          <w:lang w:eastAsia="zh-HK"/>
        </w:rPr>
        <w:t>份</w:t>
      </w:r>
      <w:r w:rsidRPr="00682F92">
        <w:rPr>
          <w:rFonts w:ascii="標楷體" w:eastAsia="標楷體" w:hAnsi="標楷體" w:cs="Times New Roman" w:hint="eastAsia"/>
          <w:color w:val="000000" w:themeColor="text1"/>
          <w:kern w:val="0"/>
          <w:sz w:val="28"/>
          <w:szCs w:val="28"/>
        </w:rPr>
        <w:t>起</w:t>
      </w:r>
      <w:r w:rsidRPr="00682F92">
        <w:rPr>
          <w:rFonts w:ascii="標楷體" w:eastAsia="標楷體" w:hAnsi="標楷體" w:cs="Times New Roman" w:hint="eastAsia"/>
          <w:color w:val="000000" w:themeColor="text1"/>
          <w:kern w:val="0"/>
          <w:sz w:val="28"/>
          <w:szCs w:val="28"/>
          <w:lang w:eastAsia="zh-HK"/>
        </w:rPr>
        <w:t>強制</w:t>
      </w:r>
      <w:r w:rsidRPr="00682F92">
        <w:rPr>
          <w:rFonts w:ascii="標楷體" w:eastAsia="標楷體" w:hAnsi="標楷體" w:cs="Times New Roman" w:hint="eastAsia"/>
          <w:color w:val="000000" w:themeColor="text1"/>
          <w:kern w:val="0"/>
          <w:sz w:val="28"/>
          <w:szCs w:val="28"/>
        </w:rPr>
        <w:t>使用人員提升自設登入密碼強度等級</w:t>
      </w:r>
      <w:r w:rsidRPr="00682F92">
        <w:rPr>
          <w:rFonts w:ascii="標楷體" w:eastAsia="標楷體" w:hAnsi="標楷體" w:cs="Times New Roman" w:hint="eastAsia"/>
          <w:color w:val="000000" w:themeColor="text1"/>
          <w:kern w:val="0"/>
          <w:sz w:val="28"/>
          <w:szCs w:val="28"/>
          <w:lang w:eastAsia="zh-HK"/>
        </w:rPr>
        <w:t>，在3月初即於</w:t>
      </w:r>
      <w:r w:rsidRPr="00682F92">
        <w:rPr>
          <w:rFonts w:ascii="標楷體" w:eastAsia="標楷體" w:hAnsi="標楷體" w:cs="Times New Roman" w:hint="eastAsia"/>
          <w:color w:val="000000" w:themeColor="text1"/>
          <w:kern w:val="0"/>
          <w:sz w:val="28"/>
          <w:szCs w:val="28"/>
        </w:rPr>
        <w:t>系統公告宣導使用人員可先行變更</w:t>
      </w:r>
      <w:r w:rsidRPr="00682F92">
        <w:rPr>
          <w:rFonts w:ascii="標楷體" w:eastAsia="標楷體" w:hAnsi="標楷體" w:cs="Times New Roman" w:hint="eastAsia"/>
          <w:color w:val="000000" w:themeColor="text1"/>
          <w:kern w:val="0"/>
          <w:sz w:val="28"/>
          <w:szCs w:val="28"/>
          <w:lang w:eastAsia="zh-HK"/>
        </w:rPr>
        <w:t>，並</w:t>
      </w:r>
      <w:r w:rsidRPr="00682F92">
        <w:rPr>
          <w:rFonts w:ascii="標楷體" w:eastAsia="標楷體" w:hAnsi="標楷體" w:cs="Times New Roman" w:hint="eastAsia"/>
          <w:color w:val="000000" w:themeColor="text1"/>
          <w:kern w:val="0"/>
          <w:sz w:val="28"/>
          <w:szCs w:val="28"/>
        </w:rPr>
        <w:t>因應登入密碼難度加強而衍生忘記登入密碼情事，設計線上及紙本申請作業。</w:t>
      </w:r>
    </w:p>
    <w:sectPr w:rsidR="000C2EC0" w:rsidRPr="00682F92" w:rsidSect="009B4C07">
      <w:footerReference w:type="even" r:id="rId7"/>
      <w:footerReference w:type="default" r:id="rId8"/>
      <w:pgSz w:w="11906" w:h="16838" w:code="9"/>
      <w:pgMar w:top="1418" w:right="1418" w:bottom="1418" w:left="1418" w:header="851" w:footer="510"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1E" w:rsidRDefault="008D2A1E" w:rsidP="00F43485">
      <w:r>
        <w:separator/>
      </w:r>
    </w:p>
  </w:endnote>
  <w:endnote w:type="continuationSeparator" w:id="0">
    <w:p w:rsidR="008D2A1E" w:rsidRDefault="008D2A1E"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華康粗圓體">
    <w:altName w:val="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altName w:val="Arial Unicode MS"/>
    <w:panose1 w:val="03000709000000000000"/>
    <w:charset w:val="88"/>
    <w:family w:val="script"/>
    <w:pitch w:val="fixed"/>
    <w:sig w:usb0="F1002BFF" w:usb1="29DFFFFF" w:usb2="00000037" w:usb3="00000000" w:csb0="003F00FF" w:csb1="00000000"/>
  </w:font>
  <w:font w:name="華康楷書體W5">
    <w:panose1 w:val="03000509000000000000"/>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 w:name="文鼎中黑">
    <w:altName w:val="微軟正黑體"/>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超研澤粗黑">
    <w:altName w:val="微軟正黑體"/>
    <w:panose1 w:val="0201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FE" w:rsidRDefault="00A630FE"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B2" w:rsidRPr="003834B2" w:rsidRDefault="003834B2" w:rsidP="003834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1E" w:rsidRDefault="008D2A1E" w:rsidP="00F43485">
      <w:r>
        <w:separator/>
      </w:r>
    </w:p>
  </w:footnote>
  <w:footnote w:type="continuationSeparator" w:id="0">
    <w:p w:rsidR="008D2A1E" w:rsidRDefault="008D2A1E"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19BA2C3B"/>
    <w:multiLevelType w:val="hybridMultilevel"/>
    <w:tmpl w:val="9CCCB9E6"/>
    <w:lvl w:ilvl="0" w:tplc="4C7A78B6">
      <w:start w:val="1"/>
      <w:numFmt w:val="taiwaneseCountingThousand"/>
      <w:lvlText w:val="（%1）"/>
      <w:lvlJc w:val="left"/>
      <w:pPr>
        <w:ind w:left="1245" w:hanging="885"/>
      </w:pPr>
      <w:rPr>
        <w:rFonts w:hint="default"/>
        <w:sz w:val="28"/>
        <w:szCs w:val="28"/>
      </w:rPr>
    </w:lvl>
    <w:lvl w:ilvl="1" w:tplc="244CE7B2">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3">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6">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nsid w:val="6AE06D8C"/>
    <w:multiLevelType w:val="hybridMultilevel"/>
    <w:tmpl w:val="4DDA1D9A"/>
    <w:lvl w:ilvl="0" w:tplc="13B2E4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1">
    <w:nsid w:val="7CC2722A"/>
    <w:multiLevelType w:val="hybridMultilevel"/>
    <w:tmpl w:val="B0DEA0CE"/>
    <w:lvl w:ilvl="0" w:tplc="274C09D0">
      <w:start w:val="1"/>
      <w:numFmt w:val="decimal"/>
      <w:lvlText w:val="%1."/>
      <w:lvlJc w:val="left"/>
      <w:pPr>
        <w:ind w:left="1308" w:hanging="360"/>
      </w:p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start w:val="1"/>
      <w:numFmt w:val="decimal"/>
      <w:lvlText w:val="%4."/>
      <w:lvlJc w:val="left"/>
      <w:pPr>
        <w:ind w:left="2868" w:hanging="480"/>
      </w:pPr>
    </w:lvl>
    <w:lvl w:ilvl="4" w:tplc="04090019">
      <w:start w:val="1"/>
      <w:numFmt w:val="ideographTraditional"/>
      <w:lvlText w:val="%5、"/>
      <w:lvlJc w:val="left"/>
      <w:pPr>
        <w:ind w:left="3348" w:hanging="480"/>
      </w:pPr>
    </w:lvl>
    <w:lvl w:ilvl="5" w:tplc="0409001B">
      <w:start w:val="1"/>
      <w:numFmt w:val="lowerRoman"/>
      <w:lvlText w:val="%6."/>
      <w:lvlJc w:val="right"/>
      <w:pPr>
        <w:ind w:left="3828" w:hanging="480"/>
      </w:pPr>
    </w:lvl>
    <w:lvl w:ilvl="6" w:tplc="0409000F">
      <w:start w:val="1"/>
      <w:numFmt w:val="decimal"/>
      <w:lvlText w:val="%7."/>
      <w:lvlJc w:val="left"/>
      <w:pPr>
        <w:ind w:left="4308" w:hanging="480"/>
      </w:pPr>
    </w:lvl>
    <w:lvl w:ilvl="7" w:tplc="04090019">
      <w:start w:val="1"/>
      <w:numFmt w:val="ideographTraditional"/>
      <w:lvlText w:val="%8、"/>
      <w:lvlJc w:val="left"/>
      <w:pPr>
        <w:ind w:left="4788" w:hanging="480"/>
      </w:pPr>
    </w:lvl>
    <w:lvl w:ilvl="8" w:tplc="0409001B">
      <w:start w:val="1"/>
      <w:numFmt w:val="lowerRoman"/>
      <w:lvlText w:val="%9."/>
      <w:lvlJc w:val="right"/>
      <w:pPr>
        <w:ind w:left="5268" w:hanging="480"/>
      </w:pPr>
    </w:lvl>
  </w:abstractNum>
  <w:num w:numId="1">
    <w:abstractNumId w:val="18"/>
  </w:num>
  <w:num w:numId="2">
    <w:abstractNumId w:val="16"/>
  </w:num>
  <w:num w:numId="3">
    <w:abstractNumId w:val="20"/>
  </w:num>
  <w:num w:numId="4">
    <w:abstractNumId w:val="13"/>
  </w:num>
  <w:num w:numId="5">
    <w:abstractNumId w:val="14"/>
  </w:num>
  <w:num w:numId="6">
    <w:abstractNumId w:val="19"/>
  </w:num>
  <w:num w:numId="7">
    <w:abstractNumId w:val="15"/>
  </w:num>
  <w:num w:numId="8">
    <w:abstractNumId w:val="9"/>
  </w:num>
  <w:num w:numId="9">
    <w:abstractNumId w:val="10"/>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86"/>
    <w:rsid w:val="00007289"/>
    <w:rsid w:val="00012150"/>
    <w:rsid w:val="00017B15"/>
    <w:rsid w:val="000232CD"/>
    <w:rsid w:val="00032A69"/>
    <w:rsid w:val="00034283"/>
    <w:rsid w:val="00041DC9"/>
    <w:rsid w:val="00051A50"/>
    <w:rsid w:val="000533A7"/>
    <w:rsid w:val="00060827"/>
    <w:rsid w:val="00066036"/>
    <w:rsid w:val="0007062B"/>
    <w:rsid w:val="000A0961"/>
    <w:rsid w:val="000B1292"/>
    <w:rsid w:val="000B73AC"/>
    <w:rsid w:val="000B7B7B"/>
    <w:rsid w:val="000C0A8D"/>
    <w:rsid w:val="000C2EC0"/>
    <w:rsid w:val="000C35F1"/>
    <w:rsid w:val="000D39DD"/>
    <w:rsid w:val="000D5667"/>
    <w:rsid w:val="000E0E0C"/>
    <w:rsid w:val="000F4899"/>
    <w:rsid w:val="000F4CAC"/>
    <w:rsid w:val="00111C80"/>
    <w:rsid w:val="001259B4"/>
    <w:rsid w:val="00131165"/>
    <w:rsid w:val="001412EC"/>
    <w:rsid w:val="0018100B"/>
    <w:rsid w:val="001A3DB4"/>
    <w:rsid w:val="001B1483"/>
    <w:rsid w:val="001B1AEB"/>
    <w:rsid w:val="001B3E08"/>
    <w:rsid w:val="001C5687"/>
    <w:rsid w:val="001E69E6"/>
    <w:rsid w:val="001F2147"/>
    <w:rsid w:val="002271E0"/>
    <w:rsid w:val="002338AF"/>
    <w:rsid w:val="0024381E"/>
    <w:rsid w:val="00251A75"/>
    <w:rsid w:val="002664B1"/>
    <w:rsid w:val="002727E6"/>
    <w:rsid w:val="00277BB1"/>
    <w:rsid w:val="00280689"/>
    <w:rsid w:val="00282F39"/>
    <w:rsid w:val="002837DC"/>
    <w:rsid w:val="00292DF9"/>
    <w:rsid w:val="00297AAD"/>
    <w:rsid w:val="002A1D37"/>
    <w:rsid w:val="002B7EE9"/>
    <w:rsid w:val="002C7CB8"/>
    <w:rsid w:val="002C7D90"/>
    <w:rsid w:val="002D15A1"/>
    <w:rsid w:val="002E6BAD"/>
    <w:rsid w:val="002F373D"/>
    <w:rsid w:val="00312C42"/>
    <w:rsid w:val="00324ACB"/>
    <w:rsid w:val="00333F0B"/>
    <w:rsid w:val="003425EA"/>
    <w:rsid w:val="00345C7A"/>
    <w:rsid w:val="00353B66"/>
    <w:rsid w:val="00361A19"/>
    <w:rsid w:val="003640DD"/>
    <w:rsid w:val="00373380"/>
    <w:rsid w:val="003834B2"/>
    <w:rsid w:val="00384C80"/>
    <w:rsid w:val="00395759"/>
    <w:rsid w:val="00396EB8"/>
    <w:rsid w:val="00397D9F"/>
    <w:rsid w:val="003B474C"/>
    <w:rsid w:val="003B56A0"/>
    <w:rsid w:val="003C3A12"/>
    <w:rsid w:val="003D4AC0"/>
    <w:rsid w:val="003E662E"/>
    <w:rsid w:val="00417D63"/>
    <w:rsid w:val="00420F95"/>
    <w:rsid w:val="00430FBD"/>
    <w:rsid w:val="00450E52"/>
    <w:rsid w:val="00453AEE"/>
    <w:rsid w:val="00454317"/>
    <w:rsid w:val="0045641F"/>
    <w:rsid w:val="00460D99"/>
    <w:rsid w:val="0046591E"/>
    <w:rsid w:val="00466ECE"/>
    <w:rsid w:val="00494EC3"/>
    <w:rsid w:val="004A4531"/>
    <w:rsid w:val="004B1377"/>
    <w:rsid w:val="004C123A"/>
    <w:rsid w:val="004D1F36"/>
    <w:rsid w:val="004D60C2"/>
    <w:rsid w:val="004D72B5"/>
    <w:rsid w:val="004E55C7"/>
    <w:rsid w:val="004E7CC9"/>
    <w:rsid w:val="00500ABE"/>
    <w:rsid w:val="0054514A"/>
    <w:rsid w:val="00545C82"/>
    <w:rsid w:val="005556A5"/>
    <w:rsid w:val="0055695D"/>
    <w:rsid w:val="0056730C"/>
    <w:rsid w:val="00580654"/>
    <w:rsid w:val="0058380B"/>
    <w:rsid w:val="00583D07"/>
    <w:rsid w:val="00591609"/>
    <w:rsid w:val="005A3263"/>
    <w:rsid w:val="005C0F91"/>
    <w:rsid w:val="005C60C6"/>
    <w:rsid w:val="005C6A40"/>
    <w:rsid w:val="005E31A0"/>
    <w:rsid w:val="005E4A27"/>
    <w:rsid w:val="005E6C90"/>
    <w:rsid w:val="00624CEA"/>
    <w:rsid w:val="006321D8"/>
    <w:rsid w:val="00656E2F"/>
    <w:rsid w:val="0066689E"/>
    <w:rsid w:val="006711E2"/>
    <w:rsid w:val="0067199F"/>
    <w:rsid w:val="00677AE2"/>
    <w:rsid w:val="00682F92"/>
    <w:rsid w:val="006838DF"/>
    <w:rsid w:val="006A3B22"/>
    <w:rsid w:val="006A6AC8"/>
    <w:rsid w:val="006B52CF"/>
    <w:rsid w:val="006B59CF"/>
    <w:rsid w:val="006C1E74"/>
    <w:rsid w:val="006E18C0"/>
    <w:rsid w:val="006E4524"/>
    <w:rsid w:val="006E50A8"/>
    <w:rsid w:val="006E6CF4"/>
    <w:rsid w:val="00703A05"/>
    <w:rsid w:val="00710A79"/>
    <w:rsid w:val="00726382"/>
    <w:rsid w:val="00734B5E"/>
    <w:rsid w:val="007409FA"/>
    <w:rsid w:val="00743833"/>
    <w:rsid w:val="00744065"/>
    <w:rsid w:val="00751A96"/>
    <w:rsid w:val="0075305C"/>
    <w:rsid w:val="00755D69"/>
    <w:rsid w:val="00760C6C"/>
    <w:rsid w:val="00794133"/>
    <w:rsid w:val="007A1295"/>
    <w:rsid w:val="007A61F0"/>
    <w:rsid w:val="007B4977"/>
    <w:rsid w:val="007C4213"/>
    <w:rsid w:val="007E09D5"/>
    <w:rsid w:val="007F6975"/>
    <w:rsid w:val="00810540"/>
    <w:rsid w:val="0081495C"/>
    <w:rsid w:val="00826D7A"/>
    <w:rsid w:val="00854B81"/>
    <w:rsid w:val="0087505D"/>
    <w:rsid w:val="008A60AA"/>
    <w:rsid w:val="008D2A1E"/>
    <w:rsid w:val="008E0A34"/>
    <w:rsid w:val="009306ED"/>
    <w:rsid w:val="00935684"/>
    <w:rsid w:val="0094089A"/>
    <w:rsid w:val="00940960"/>
    <w:rsid w:val="00941B23"/>
    <w:rsid w:val="00947C85"/>
    <w:rsid w:val="00947F39"/>
    <w:rsid w:val="009543DA"/>
    <w:rsid w:val="00971EA5"/>
    <w:rsid w:val="00973ADF"/>
    <w:rsid w:val="00976DF4"/>
    <w:rsid w:val="0099252D"/>
    <w:rsid w:val="0099447F"/>
    <w:rsid w:val="00995ADF"/>
    <w:rsid w:val="009B4C07"/>
    <w:rsid w:val="009B72D2"/>
    <w:rsid w:val="009D78E4"/>
    <w:rsid w:val="009E2C16"/>
    <w:rsid w:val="00A11B9E"/>
    <w:rsid w:val="00A17473"/>
    <w:rsid w:val="00A20FC1"/>
    <w:rsid w:val="00A216B5"/>
    <w:rsid w:val="00A27CA0"/>
    <w:rsid w:val="00A41830"/>
    <w:rsid w:val="00A52886"/>
    <w:rsid w:val="00A564D7"/>
    <w:rsid w:val="00A57C94"/>
    <w:rsid w:val="00A630FE"/>
    <w:rsid w:val="00A661F8"/>
    <w:rsid w:val="00A85485"/>
    <w:rsid w:val="00A914D4"/>
    <w:rsid w:val="00A93D7F"/>
    <w:rsid w:val="00A97168"/>
    <w:rsid w:val="00AA7342"/>
    <w:rsid w:val="00AF189A"/>
    <w:rsid w:val="00B07DDF"/>
    <w:rsid w:val="00B13C28"/>
    <w:rsid w:val="00B27C35"/>
    <w:rsid w:val="00B46A66"/>
    <w:rsid w:val="00B60912"/>
    <w:rsid w:val="00B66C9E"/>
    <w:rsid w:val="00B71F56"/>
    <w:rsid w:val="00B96BA3"/>
    <w:rsid w:val="00B9724B"/>
    <w:rsid w:val="00BA114A"/>
    <w:rsid w:val="00BB4C9E"/>
    <w:rsid w:val="00BD7DE5"/>
    <w:rsid w:val="00BE7585"/>
    <w:rsid w:val="00BF5F6F"/>
    <w:rsid w:val="00C00E1E"/>
    <w:rsid w:val="00C11D58"/>
    <w:rsid w:val="00C12E00"/>
    <w:rsid w:val="00C21E5B"/>
    <w:rsid w:val="00C227F2"/>
    <w:rsid w:val="00C30A72"/>
    <w:rsid w:val="00C3312B"/>
    <w:rsid w:val="00C53BC2"/>
    <w:rsid w:val="00C54BA2"/>
    <w:rsid w:val="00C568BE"/>
    <w:rsid w:val="00C64848"/>
    <w:rsid w:val="00C70E6B"/>
    <w:rsid w:val="00C73E18"/>
    <w:rsid w:val="00C76143"/>
    <w:rsid w:val="00C978E4"/>
    <w:rsid w:val="00CA096D"/>
    <w:rsid w:val="00CD1A01"/>
    <w:rsid w:val="00CE7893"/>
    <w:rsid w:val="00CF0E36"/>
    <w:rsid w:val="00CF36EF"/>
    <w:rsid w:val="00CF4238"/>
    <w:rsid w:val="00D14362"/>
    <w:rsid w:val="00D21D25"/>
    <w:rsid w:val="00D23F0D"/>
    <w:rsid w:val="00D23FE8"/>
    <w:rsid w:val="00D61187"/>
    <w:rsid w:val="00D67D6A"/>
    <w:rsid w:val="00D75D1E"/>
    <w:rsid w:val="00D85135"/>
    <w:rsid w:val="00D8728F"/>
    <w:rsid w:val="00DF55FC"/>
    <w:rsid w:val="00E04AAF"/>
    <w:rsid w:val="00E1754D"/>
    <w:rsid w:val="00E17792"/>
    <w:rsid w:val="00E23EDF"/>
    <w:rsid w:val="00E61A51"/>
    <w:rsid w:val="00E62E84"/>
    <w:rsid w:val="00E66646"/>
    <w:rsid w:val="00E670E6"/>
    <w:rsid w:val="00E6784E"/>
    <w:rsid w:val="00E7343A"/>
    <w:rsid w:val="00E8011D"/>
    <w:rsid w:val="00E91148"/>
    <w:rsid w:val="00E928A2"/>
    <w:rsid w:val="00E93690"/>
    <w:rsid w:val="00E94E87"/>
    <w:rsid w:val="00EA179C"/>
    <w:rsid w:val="00EB3099"/>
    <w:rsid w:val="00EB64E5"/>
    <w:rsid w:val="00ED0B18"/>
    <w:rsid w:val="00ED435C"/>
    <w:rsid w:val="00EE3008"/>
    <w:rsid w:val="00EF75EB"/>
    <w:rsid w:val="00F11BCE"/>
    <w:rsid w:val="00F26E21"/>
    <w:rsid w:val="00F3382C"/>
    <w:rsid w:val="00F37E09"/>
    <w:rsid w:val="00F4006C"/>
    <w:rsid w:val="00F43485"/>
    <w:rsid w:val="00F649FF"/>
    <w:rsid w:val="00F76C62"/>
    <w:rsid w:val="00F921DE"/>
    <w:rsid w:val="00FA47FF"/>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9391055-DD79-46B4-A53B-ACF4D41E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1036</Words>
  <Characters>5911</Characters>
  <Application>Microsoft Office Word</Application>
  <DocSecurity>0</DocSecurity>
  <Lines>49</Lines>
  <Paragraphs>13</Paragraphs>
  <ScaleCrop>false</ScaleCrop>
  <Company>Hewlett-Packard Company</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syf</cp:lastModifiedBy>
  <cp:revision>2</cp:revision>
  <cp:lastPrinted>2019-08-26T06:44:00Z</cp:lastPrinted>
  <dcterms:created xsi:type="dcterms:W3CDTF">2020-09-07T08:17:00Z</dcterms:created>
  <dcterms:modified xsi:type="dcterms:W3CDTF">2020-09-07T08:17:00Z</dcterms:modified>
</cp:coreProperties>
</file>