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6F" w:rsidRPr="00987D86" w:rsidRDefault="000C6B7B" w:rsidP="00EE06B2">
      <w:pPr>
        <w:pStyle w:val="000-"/>
        <w:suppressAutoHyphens w:val="0"/>
        <w:autoSpaceDN/>
        <w:adjustRightInd w:val="0"/>
        <w:spacing w:beforeLines="50" w:before="197" w:afterLines="50" w:after="197" w:line="360" w:lineRule="exact"/>
        <w:ind w:leftChars="30" w:left="72" w:rightChars="30" w:right="72"/>
        <w:textAlignment w:val="auto"/>
        <w:rPr>
          <w:color w:val="000000" w:themeColor="text1"/>
          <w:kern w:val="2"/>
          <w:sz w:val="40"/>
          <w:szCs w:val="40"/>
        </w:rPr>
      </w:pPr>
      <w:r w:rsidRPr="00987D86">
        <w:rPr>
          <w:color w:val="000000" w:themeColor="text1"/>
          <w:kern w:val="2"/>
          <w:sz w:val="40"/>
          <w:szCs w:val="40"/>
        </w:rPr>
        <w:t>高雄市政府財政局112年度施政績效成果報告</w:t>
      </w:r>
    </w:p>
    <w:tbl>
      <w:tblPr>
        <w:tblW w:w="9923" w:type="dxa"/>
        <w:jc w:val="center"/>
        <w:tblLayout w:type="fixed"/>
        <w:tblCellMar>
          <w:left w:w="10" w:type="dxa"/>
          <w:right w:w="10" w:type="dxa"/>
        </w:tblCellMar>
        <w:tblLook w:val="0000" w:firstRow="0" w:lastRow="0" w:firstColumn="0" w:lastColumn="0" w:noHBand="0" w:noVBand="0"/>
      </w:tblPr>
      <w:tblGrid>
        <w:gridCol w:w="2537"/>
        <w:gridCol w:w="7386"/>
      </w:tblGrid>
      <w:tr w:rsidR="00615C09" w:rsidRPr="00615C09">
        <w:trPr>
          <w:trHeight w:val="567"/>
          <w:tblHeader/>
          <w:jc w:val="center"/>
        </w:trPr>
        <w:tc>
          <w:tcPr>
            <w:tcW w:w="253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rsidR="005B786F" w:rsidRPr="00615C09" w:rsidRDefault="000C6B7B" w:rsidP="00987D86">
            <w:pPr>
              <w:suppressAutoHyphens w:val="0"/>
              <w:overflowPunct w:val="0"/>
              <w:autoSpaceDE w:val="0"/>
              <w:adjustRightInd w:val="0"/>
              <w:snapToGrid w:val="0"/>
              <w:spacing w:line="300" w:lineRule="exact"/>
              <w:ind w:leftChars="30" w:left="72" w:rightChars="30" w:right="72"/>
              <w:jc w:val="center"/>
              <w:textAlignment w:val="auto"/>
              <w:rPr>
                <w:rFonts w:ascii="標楷體" w:eastAsia="標楷體" w:hAnsi="標楷體"/>
                <w:b/>
                <w:sz w:val="28"/>
                <w:szCs w:val="28"/>
              </w:rPr>
            </w:pPr>
            <w:r w:rsidRPr="00987D86">
              <w:rPr>
                <w:rFonts w:ascii="標楷體" w:eastAsia="標楷體" w:hAnsi="標楷體"/>
                <w:b/>
                <w:color w:val="000000" w:themeColor="text1"/>
                <w:kern w:val="2"/>
                <w:sz w:val="28"/>
                <w:szCs w:val="28"/>
              </w:rPr>
              <w:t>重要施政項目</w:t>
            </w:r>
          </w:p>
        </w:tc>
        <w:tc>
          <w:tcPr>
            <w:tcW w:w="73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rsidR="005B786F" w:rsidRPr="00615C09" w:rsidRDefault="000C6B7B" w:rsidP="00987D86">
            <w:pPr>
              <w:suppressAutoHyphens w:val="0"/>
              <w:overflowPunct w:val="0"/>
              <w:autoSpaceDE w:val="0"/>
              <w:adjustRightInd w:val="0"/>
              <w:snapToGrid w:val="0"/>
              <w:spacing w:line="300" w:lineRule="exact"/>
              <w:ind w:leftChars="50" w:left="120" w:rightChars="30" w:right="72"/>
              <w:jc w:val="center"/>
              <w:textAlignment w:val="auto"/>
              <w:rPr>
                <w:rFonts w:ascii="標楷體" w:eastAsia="標楷體" w:hAnsi="標楷體"/>
                <w:b/>
                <w:sz w:val="28"/>
                <w:szCs w:val="28"/>
              </w:rPr>
            </w:pPr>
            <w:r w:rsidRPr="00987D86">
              <w:rPr>
                <w:rFonts w:ascii="標楷體" w:eastAsia="標楷體" w:hAnsi="標楷體"/>
                <w:b/>
                <w:color w:val="000000" w:themeColor="text1"/>
                <w:kern w:val="2"/>
                <w:sz w:val="28"/>
                <w:szCs w:val="28"/>
              </w:rPr>
              <w:t>執　　行　　成　　果　　與　　效　　益</w:t>
            </w:r>
          </w:p>
        </w:tc>
      </w:tr>
      <w:tr w:rsidR="005B786F" w:rsidRPr="001D6AB1">
        <w:trPr>
          <w:trHeight w:val="2203"/>
          <w:jc w:val="center"/>
        </w:trPr>
        <w:tc>
          <w:tcPr>
            <w:tcW w:w="253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5B786F" w:rsidRPr="001D6AB1" w:rsidRDefault="000C6B7B" w:rsidP="0095539C">
            <w:pPr>
              <w:pStyle w:val="ac"/>
              <w:suppressAutoHyphens w:val="0"/>
              <w:autoSpaceDN/>
              <w:snapToGrid/>
              <w:spacing w:line="360" w:lineRule="exact"/>
              <w:ind w:leftChars="30" w:left="72" w:rightChars="50" w:right="120" w:firstLine="0"/>
              <w:contextualSpacing/>
              <w:textAlignment w:val="auto"/>
              <w:rPr>
                <w:b/>
                <w:color w:val="000000" w:themeColor="text1"/>
                <w:sz w:val="24"/>
                <w:szCs w:val="24"/>
              </w:rPr>
            </w:pPr>
            <w:r w:rsidRPr="001D6AB1">
              <w:rPr>
                <w:b/>
                <w:color w:val="000000" w:themeColor="text1"/>
                <w:sz w:val="24"/>
                <w:szCs w:val="24"/>
              </w:rPr>
              <w:t>壹、財務行政</w:t>
            </w: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一、財務管理</w:t>
            </w:r>
          </w:p>
          <w:p w:rsidR="005B786F" w:rsidRPr="001D6AB1" w:rsidRDefault="00D21780" w:rsidP="0095539C">
            <w:pPr>
              <w:pStyle w:val="ac"/>
              <w:tabs>
                <w:tab w:val="left" w:pos="495"/>
              </w:tabs>
              <w:suppressAutoHyphens w:val="0"/>
              <w:autoSpaceDN/>
              <w:snapToGrid/>
              <w:spacing w:line="360" w:lineRule="exact"/>
              <w:ind w:leftChars="140" w:left="900" w:rightChars="20" w:right="48" w:hangingChars="235" w:hanging="564"/>
              <w:contextualSpacing/>
              <w:jc w:val="both"/>
              <w:textAlignment w:val="auto"/>
              <w:rPr>
                <w:sz w:val="24"/>
                <w:szCs w:val="24"/>
              </w:rPr>
            </w:pPr>
            <w:r w:rsidRPr="001D6AB1">
              <w:rPr>
                <w:sz w:val="24"/>
                <w:szCs w:val="24"/>
              </w:rPr>
              <w:t>(</w:t>
            </w:r>
            <w:r w:rsidR="000C6B7B" w:rsidRPr="001D6AB1">
              <w:rPr>
                <w:sz w:val="24"/>
                <w:szCs w:val="24"/>
              </w:rPr>
              <w:t>一</w:t>
            </w:r>
            <w:r w:rsidRPr="001D6AB1">
              <w:rPr>
                <w:sz w:val="24"/>
                <w:szCs w:val="24"/>
              </w:rPr>
              <w:t>)</w:t>
            </w:r>
            <w:r w:rsidR="000C6B7B" w:rsidRPr="001D6AB1">
              <w:rPr>
                <w:sz w:val="24"/>
                <w:szCs w:val="24"/>
              </w:rPr>
              <w:t>切實掌握財源並予妥善運用，使各項市政建設能順利發展</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D21780" w:rsidP="0095539C">
            <w:pPr>
              <w:pStyle w:val="ac"/>
              <w:tabs>
                <w:tab w:val="left" w:pos="495"/>
              </w:tabs>
              <w:suppressAutoHyphens w:val="0"/>
              <w:autoSpaceDN/>
              <w:snapToGrid/>
              <w:spacing w:line="360" w:lineRule="exact"/>
              <w:ind w:leftChars="140" w:left="900" w:rightChars="20" w:right="48" w:hangingChars="235" w:hanging="564"/>
              <w:contextualSpacing/>
              <w:jc w:val="both"/>
              <w:textAlignment w:val="auto"/>
              <w:rPr>
                <w:sz w:val="24"/>
                <w:szCs w:val="24"/>
              </w:rPr>
            </w:pPr>
            <w:r w:rsidRPr="001D6AB1">
              <w:rPr>
                <w:sz w:val="24"/>
                <w:szCs w:val="24"/>
              </w:rPr>
              <w:t>(</w:t>
            </w:r>
            <w:r w:rsidR="000C6B7B" w:rsidRPr="001D6AB1">
              <w:rPr>
                <w:sz w:val="24"/>
                <w:szCs w:val="24"/>
              </w:rPr>
              <w:t>二</w:t>
            </w:r>
            <w:r w:rsidRPr="001D6AB1">
              <w:rPr>
                <w:sz w:val="24"/>
                <w:szCs w:val="24"/>
              </w:rPr>
              <w:t>)</w:t>
            </w:r>
            <w:r w:rsidR="000C6B7B" w:rsidRPr="001D6AB1">
              <w:rPr>
                <w:sz w:val="24"/>
                <w:szCs w:val="24"/>
              </w:rPr>
              <w:t>加強財務行政管理，嚴格控制支出，促使各項經費經濟有效使用</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D545F5" w:rsidRPr="001D6AB1" w:rsidRDefault="00D545F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二、歲入管理</w:t>
            </w:r>
          </w:p>
          <w:p w:rsidR="005B786F" w:rsidRPr="001D6AB1" w:rsidRDefault="00D21780" w:rsidP="0095539C">
            <w:pPr>
              <w:pStyle w:val="ac"/>
              <w:tabs>
                <w:tab w:val="left" w:pos="495"/>
              </w:tabs>
              <w:suppressAutoHyphens w:val="0"/>
              <w:autoSpaceDN/>
              <w:snapToGrid/>
              <w:spacing w:line="360" w:lineRule="exact"/>
              <w:ind w:leftChars="140" w:left="900" w:rightChars="20" w:right="48" w:hangingChars="235" w:hanging="564"/>
              <w:contextualSpacing/>
              <w:jc w:val="both"/>
              <w:textAlignment w:val="auto"/>
              <w:rPr>
                <w:sz w:val="24"/>
                <w:szCs w:val="24"/>
              </w:rPr>
            </w:pPr>
            <w:r w:rsidRPr="001D6AB1">
              <w:rPr>
                <w:sz w:val="24"/>
                <w:szCs w:val="24"/>
              </w:rPr>
              <w:t>(</w:t>
            </w:r>
            <w:r w:rsidR="000C6B7B" w:rsidRPr="001D6AB1">
              <w:rPr>
                <w:sz w:val="24"/>
                <w:szCs w:val="24"/>
              </w:rPr>
              <w:t>一</w:t>
            </w:r>
            <w:r w:rsidRPr="001D6AB1">
              <w:rPr>
                <w:sz w:val="24"/>
                <w:szCs w:val="24"/>
              </w:rPr>
              <w:t>)</w:t>
            </w:r>
            <w:r w:rsidR="000C6B7B" w:rsidRPr="001D6AB1">
              <w:rPr>
                <w:sz w:val="24"/>
                <w:szCs w:val="24"/>
              </w:rPr>
              <w:t>加強稅外收入之管理，充裕庫收</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D21780" w:rsidP="0095539C">
            <w:pPr>
              <w:pStyle w:val="ac"/>
              <w:tabs>
                <w:tab w:val="left" w:pos="495"/>
              </w:tabs>
              <w:suppressAutoHyphens w:val="0"/>
              <w:autoSpaceDN/>
              <w:snapToGrid/>
              <w:spacing w:line="360" w:lineRule="exact"/>
              <w:ind w:leftChars="140" w:left="900" w:rightChars="20" w:right="48" w:hangingChars="235" w:hanging="564"/>
              <w:contextualSpacing/>
              <w:jc w:val="both"/>
              <w:textAlignment w:val="auto"/>
              <w:rPr>
                <w:sz w:val="24"/>
                <w:szCs w:val="24"/>
              </w:rPr>
            </w:pPr>
            <w:r w:rsidRPr="001D6AB1">
              <w:rPr>
                <w:sz w:val="24"/>
                <w:szCs w:val="24"/>
              </w:rPr>
              <w:t>(</w:t>
            </w:r>
            <w:r w:rsidR="000C6B7B" w:rsidRPr="001D6AB1">
              <w:rPr>
                <w:sz w:val="24"/>
                <w:szCs w:val="24"/>
              </w:rPr>
              <w:t>二</w:t>
            </w:r>
            <w:r w:rsidRPr="001D6AB1">
              <w:rPr>
                <w:sz w:val="24"/>
                <w:szCs w:val="24"/>
              </w:rPr>
              <w:t>)</w:t>
            </w:r>
            <w:r w:rsidR="000C6B7B" w:rsidRPr="001D6AB1">
              <w:rPr>
                <w:sz w:val="24"/>
                <w:szCs w:val="24"/>
              </w:rPr>
              <w:t>嚴密管理各項收入憑證，防止意外或不法情事發生</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0C6B7B" w:rsidP="001D6AB1">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rFonts w:cs="新細明體"/>
                <w:sz w:val="24"/>
                <w:szCs w:val="24"/>
              </w:rPr>
            </w:pPr>
            <w:r w:rsidRPr="001D6AB1">
              <w:rPr>
                <w:rFonts w:cs="新細明體"/>
                <w:sz w:val="24"/>
                <w:szCs w:val="24"/>
              </w:rPr>
              <w:t>三、債務管理</w:t>
            </w:r>
          </w:p>
          <w:p w:rsidR="005B786F" w:rsidRPr="001D6AB1" w:rsidRDefault="000C6B7B" w:rsidP="0095539C">
            <w:pPr>
              <w:widowControl/>
              <w:suppressAutoHyphens w:val="0"/>
              <w:overflowPunct w:val="0"/>
              <w:autoSpaceDE w:val="0"/>
              <w:spacing w:line="360" w:lineRule="exact"/>
              <w:ind w:leftChars="320" w:left="768" w:rightChars="50" w:right="120" w:firstLineChars="5" w:firstLine="12"/>
              <w:contextualSpacing/>
              <w:jc w:val="both"/>
              <w:textAlignment w:val="auto"/>
              <w:rPr>
                <w:rFonts w:ascii="標楷體" w:eastAsia="標楷體" w:hAnsi="標楷體" w:cs="新細明體"/>
                <w:kern w:val="0"/>
                <w:szCs w:val="24"/>
              </w:rPr>
            </w:pPr>
            <w:r w:rsidRPr="001D6AB1">
              <w:rPr>
                <w:rFonts w:ascii="標楷體" w:eastAsia="標楷體" w:hAnsi="標楷體" w:cs="新細明體"/>
                <w:kern w:val="0"/>
                <w:szCs w:val="24"/>
              </w:rPr>
              <w:t>加強債務還本付息之管理，節省債息負擔；協助發行綠債，加速推動環境永續</w:t>
            </w:r>
          </w:p>
          <w:p w:rsidR="005B786F" w:rsidRDefault="005B786F" w:rsidP="0095539C">
            <w:pPr>
              <w:widowControl/>
              <w:overflowPunct w:val="0"/>
              <w:autoSpaceDE w:val="0"/>
              <w:spacing w:line="360" w:lineRule="exact"/>
              <w:ind w:left="120" w:right="120"/>
              <w:contextualSpacing/>
              <w:jc w:val="both"/>
              <w:rPr>
                <w:rFonts w:ascii="標楷體" w:eastAsia="標楷體" w:hAnsi="標楷體" w:cs="新細明體"/>
                <w:kern w:val="0"/>
                <w:szCs w:val="24"/>
              </w:rPr>
            </w:pPr>
          </w:p>
          <w:p w:rsidR="00436B79" w:rsidRPr="001D6AB1" w:rsidRDefault="00436B79" w:rsidP="0095539C">
            <w:pPr>
              <w:widowControl/>
              <w:overflowPunct w:val="0"/>
              <w:autoSpaceDE w:val="0"/>
              <w:spacing w:line="360" w:lineRule="exact"/>
              <w:ind w:left="120" w:right="120"/>
              <w:contextualSpacing/>
              <w:jc w:val="both"/>
              <w:rPr>
                <w:rFonts w:ascii="標楷體" w:eastAsia="標楷體" w:hAnsi="標楷體" w:cs="新細明體"/>
                <w:kern w:val="0"/>
                <w:szCs w:val="24"/>
              </w:rPr>
            </w:pPr>
          </w:p>
          <w:p w:rsidR="005B786F" w:rsidRDefault="005B786F" w:rsidP="0095539C">
            <w:pPr>
              <w:widowControl/>
              <w:overflowPunct w:val="0"/>
              <w:autoSpaceDE w:val="0"/>
              <w:spacing w:line="360" w:lineRule="exact"/>
              <w:ind w:left="120" w:right="120"/>
              <w:contextualSpacing/>
              <w:jc w:val="both"/>
              <w:rPr>
                <w:rFonts w:ascii="標楷體" w:eastAsia="標楷體" w:hAnsi="標楷體" w:cs="新細明體"/>
                <w:kern w:val="0"/>
                <w:szCs w:val="24"/>
              </w:rPr>
            </w:pPr>
          </w:p>
          <w:p w:rsidR="00903B5A" w:rsidRPr="001D6AB1" w:rsidRDefault="00903B5A" w:rsidP="0095539C">
            <w:pPr>
              <w:widowControl/>
              <w:overflowPunct w:val="0"/>
              <w:autoSpaceDE w:val="0"/>
              <w:spacing w:line="360" w:lineRule="exact"/>
              <w:ind w:left="120" w:right="120"/>
              <w:contextualSpacing/>
              <w:jc w:val="both"/>
              <w:rPr>
                <w:rFonts w:ascii="標楷體" w:eastAsia="標楷體" w:hAnsi="標楷體" w:cs="新細明體"/>
                <w:kern w:val="0"/>
                <w:szCs w:val="24"/>
              </w:rPr>
            </w:pPr>
          </w:p>
          <w:p w:rsidR="005B786F" w:rsidRPr="001D6AB1" w:rsidRDefault="000C6B7B" w:rsidP="0095539C">
            <w:pPr>
              <w:pStyle w:val="ac"/>
              <w:suppressAutoHyphens w:val="0"/>
              <w:autoSpaceDN/>
              <w:snapToGrid/>
              <w:spacing w:line="360" w:lineRule="exact"/>
              <w:ind w:leftChars="30" w:left="72" w:rightChars="50" w:right="120" w:firstLine="0"/>
              <w:contextualSpacing/>
              <w:textAlignment w:val="auto"/>
              <w:rPr>
                <w:b/>
                <w:color w:val="000000" w:themeColor="text1"/>
                <w:sz w:val="24"/>
                <w:szCs w:val="24"/>
              </w:rPr>
            </w:pPr>
            <w:r w:rsidRPr="001D6AB1">
              <w:rPr>
                <w:b/>
                <w:color w:val="000000" w:themeColor="text1"/>
                <w:sz w:val="24"/>
                <w:szCs w:val="24"/>
              </w:rPr>
              <w:t>貳、稅務金融管理</w:t>
            </w: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一、一般金融管理</w:t>
            </w:r>
          </w:p>
          <w:p w:rsidR="005B786F" w:rsidRPr="001D6AB1" w:rsidRDefault="00D21780" w:rsidP="0095539C">
            <w:pPr>
              <w:pStyle w:val="ac"/>
              <w:tabs>
                <w:tab w:val="left" w:pos="495"/>
              </w:tabs>
              <w:suppressAutoHyphens w:val="0"/>
              <w:autoSpaceDN/>
              <w:snapToGrid/>
              <w:spacing w:line="360" w:lineRule="exact"/>
              <w:ind w:leftChars="140" w:left="900" w:rightChars="20" w:right="48" w:hangingChars="235" w:hanging="564"/>
              <w:contextualSpacing/>
              <w:jc w:val="both"/>
              <w:textAlignment w:val="auto"/>
              <w:rPr>
                <w:sz w:val="24"/>
                <w:szCs w:val="24"/>
              </w:rPr>
            </w:pPr>
            <w:r w:rsidRPr="001D6AB1">
              <w:rPr>
                <w:sz w:val="24"/>
                <w:szCs w:val="24"/>
              </w:rPr>
              <w:t>(</w:t>
            </w:r>
            <w:r w:rsidR="000C6B7B" w:rsidRPr="001D6AB1">
              <w:rPr>
                <w:sz w:val="24"/>
                <w:szCs w:val="24"/>
              </w:rPr>
              <w:t>一</w:t>
            </w:r>
            <w:r w:rsidRPr="001D6AB1">
              <w:rPr>
                <w:sz w:val="24"/>
                <w:szCs w:val="24"/>
              </w:rPr>
              <w:t>)</w:t>
            </w:r>
            <w:r w:rsidR="000C6B7B" w:rsidRPr="001D6AB1">
              <w:rPr>
                <w:sz w:val="24"/>
                <w:szCs w:val="24"/>
              </w:rPr>
              <w:t>高雄銀行公股股權管理</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D545F5" w:rsidRPr="001D6AB1" w:rsidRDefault="00D545F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EA7EA6" w:rsidRPr="001D6AB1" w:rsidRDefault="00EA7EA6"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D21780" w:rsidP="0095539C">
            <w:pPr>
              <w:pStyle w:val="ac"/>
              <w:tabs>
                <w:tab w:val="left" w:pos="495"/>
              </w:tabs>
              <w:suppressAutoHyphens w:val="0"/>
              <w:autoSpaceDN/>
              <w:snapToGrid/>
              <w:spacing w:line="360" w:lineRule="exact"/>
              <w:ind w:leftChars="140" w:left="864" w:rightChars="20" w:right="48" w:hangingChars="220" w:hanging="528"/>
              <w:contextualSpacing/>
              <w:jc w:val="both"/>
              <w:textAlignment w:val="auto"/>
              <w:rPr>
                <w:sz w:val="24"/>
                <w:szCs w:val="24"/>
              </w:rPr>
            </w:pPr>
            <w:r w:rsidRPr="001D6AB1">
              <w:rPr>
                <w:sz w:val="24"/>
                <w:szCs w:val="24"/>
              </w:rPr>
              <w:t>(</w:t>
            </w:r>
            <w:r w:rsidR="000C6B7B" w:rsidRPr="001D6AB1">
              <w:rPr>
                <w:sz w:val="24"/>
                <w:szCs w:val="24"/>
              </w:rPr>
              <w:t>二</w:t>
            </w:r>
            <w:r w:rsidRPr="001D6AB1">
              <w:rPr>
                <w:sz w:val="24"/>
                <w:szCs w:val="24"/>
              </w:rPr>
              <w:t>)</w:t>
            </w:r>
            <w:r w:rsidR="000C6B7B" w:rsidRPr="001D6AB1">
              <w:rPr>
                <w:sz w:val="24"/>
                <w:szCs w:val="24"/>
              </w:rPr>
              <w:t>動產質借所管理</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D545F5" w:rsidRPr="001D6AB1" w:rsidRDefault="00D545F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D545F5" w:rsidRPr="001D6AB1" w:rsidRDefault="00D545F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二、基層金融管理</w:t>
            </w:r>
          </w:p>
          <w:p w:rsidR="005B786F" w:rsidRPr="001D6AB1" w:rsidRDefault="00D21780" w:rsidP="001D6AB1">
            <w:pPr>
              <w:pStyle w:val="ac"/>
              <w:tabs>
                <w:tab w:val="left" w:pos="495"/>
              </w:tabs>
              <w:suppressAutoHyphens w:val="0"/>
              <w:autoSpaceDN/>
              <w:snapToGrid/>
              <w:spacing w:line="360" w:lineRule="exact"/>
              <w:ind w:leftChars="140" w:left="864" w:rightChars="20" w:right="48" w:hangingChars="220" w:hanging="528"/>
              <w:contextualSpacing/>
              <w:jc w:val="both"/>
              <w:textAlignment w:val="auto"/>
              <w:rPr>
                <w:kern w:val="2"/>
                <w:sz w:val="24"/>
                <w:szCs w:val="24"/>
              </w:rPr>
            </w:pPr>
            <w:r w:rsidRPr="001D6AB1">
              <w:rPr>
                <w:kern w:val="2"/>
                <w:sz w:val="24"/>
                <w:szCs w:val="24"/>
              </w:rPr>
              <w:t>(</w:t>
            </w:r>
            <w:r w:rsidR="000C6B7B" w:rsidRPr="001D6AB1">
              <w:rPr>
                <w:kern w:val="2"/>
                <w:sz w:val="24"/>
                <w:szCs w:val="24"/>
              </w:rPr>
              <w:t>一</w:t>
            </w:r>
            <w:r w:rsidRPr="001D6AB1">
              <w:rPr>
                <w:kern w:val="2"/>
                <w:sz w:val="24"/>
                <w:szCs w:val="24"/>
              </w:rPr>
              <w:t>)</w:t>
            </w:r>
            <w:r w:rsidR="000C6B7B" w:rsidRPr="001D6AB1">
              <w:rPr>
                <w:sz w:val="24"/>
                <w:szCs w:val="24"/>
              </w:rPr>
              <w:t>信用合作社</w:t>
            </w:r>
            <w:r w:rsidR="000C6B7B" w:rsidRPr="001D6AB1">
              <w:rPr>
                <w:kern w:val="2"/>
                <w:sz w:val="24"/>
                <w:szCs w:val="24"/>
              </w:rPr>
              <w:t>社務管理</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D545F5" w:rsidRPr="001D6AB1" w:rsidRDefault="00D545F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D21780" w:rsidP="001D6AB1">
            <w:pPr>
              <w:pStyle w:val="ac"/>
              <w:tabs>
                <w:tab w:val="left" w:pos="495"/>
              </w:tabs>
              <w:suppressAutoHyphens w:val="0"/>
              <w:autoSpaceDN/>
              <w:snapToGrid/>
              <w:spacing w:line="360" w:lineRule="exact"/>
              <w:ind w:leftChars="140" w:left="864" w:rightChars="20" w:right="48" w:hangingChars="220" w:hanging="528"/>
              <w:contextualSpacing/>
              <w:jc w:val="both"/>
              <w:textAlignment w:val="auto"/>
              <w:rPr>
                <w:kern w:val="2"/>
                <w:sz w:val="24"/>
                <w:szCs w:val="24"/>
              </w:rPr>
            </w:pPr>
            <w:r w:rsidRPr="001D6AB1">
              <w:rPr>
                <w:kern w:val="2"/>
                <w:sz w:val="24"/>
                <w:szCs w:val="24"/>
              </w:rPr>
              <w:t>(</w:t>
            </w:r>
            <w:r w:rsidR="000C6B7B" w:rsidRPr="001D6AB1">
              <w:rPr>
                <w:kern w:val="2"/>
                <w:sz w:val="24"/>
                <w:szCs w:val="24"/>
              </w:rPr>
              <w:t>二</w:t>
            </w:r>
            <w:r w:rsidRPr="001D6AB1">
              <w:rPr>
                <w:kern w:val="2"/>
                <w:sz w:val="24"/>
                <w:szCs w:val="24"/>
              </w:rPr>
              <w:t>)</w:t>
            </w:r>
            <w:r w:rsidR="000C6B7B" w:rsidRPr="001D6AB1">
              <w:rPr>
                <w:sz w:val="24"/>
                <w:szCs w:val="24"/>
              </w:rPr>
              <w:t>信用合作社</w:t>
            </w:r>
            <w:r w:rsidR="000C6B7B" w:rsidRPr="001D6AB1">
              <w:rPr>
                <w:kern w:val="2"/>
                <w:sz w:val="24"/>
                <w:szCs w:val="24"/>
              </w:rPr>
              <w:t>業務管理</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CC7306" w:rsidRPr="001D6AB1" w:rsidRDefault="00CC7306"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D21780" w:rsidP="0095539C">
            <w:pPr>
              <w:pStyle w:val="ac"/>
              <w:tabs>
                <w:tab w:val="left" w:pos="495"/>
              </w:tabs>
              <w:suppressAutoHyphens w:val="0"/>
              <w:autoSpaceDN/>
              <w:snapToGrid/>
              <w:spacing w:line="360" w:lineRule="exact"/>
              <w:ind w:leftChars="140" w:left="864" w:rightChars="20" w:right="48" w:hangingChars="220" w:hanging="528"/>
              <w:contextualSpacing/>
              <w:jc w:val="both"/>
              <w:textAlignment w:val="auto"/>
              <w:rPr>
                <w:sz w:val="24"/>
                <w:szCs w:val="24"/>
              </w:rPr>
            </w:pPr>
            <w:r w:rsidRPr="001D6AB1">
              <w:rPr>
                <w:sz w:val="24"/>
                <w:szCs w:val="24"/>
              </w:rPr>
              <w:lastRenderedPageBreak/>
              <w:t>(</w:t>
            </w:r>
            <w:r w:rsidR="000C6B7B" w:rsidRPr="001D6AB1">
              <w:rPr>
                <w:sz w:val="24"/>
                <w:szCs w:val="24"/>
              </w:rPr>
              <w:t>三</w:t>
            </w:r>
            <w:r w:rsidRPr="001D6AB1">
              <w:rPr>
                <w:sz w:val="24"/>
                <w:szCs w:val="24"/>
              </w:rPr>
              <w:t>)</w:t>
            </w:r>
            <w:r w:rsidR="000C6B7B" w:rsidRPr="001D6AB1">
              <w:rPr>
                <w:sz w:val="24"/>
                <w:szCs w:val="24"/>
              </w:rPr>
              <w:t>信用合作社財務管理</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D545F5" w:rsidRPr="001D6AB1" w:rsidRDefault="00D545F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D21780" w:rsidP="0095539C">
            <w:pPr>
              <w:pStyle w:val="ac"/>
              <w:tabs>
                <w:tab w:val="left" w:pos="495"/>
              </w:tabs>
              <w:suppressAutoHyphens w:val="0"/>
              <w:autoSpaceDN/>
              <w:snapToGrid/>
              <w:spacing w:line="360" w:lineRule="exact"/>
              <w:ind w:leftChars="140" w:left="864" w:rightChars="20" w:right="48" w:hangingChars="220" w:hanging="528"/>
              <w:contextualSpacing/>
              <w:jc w:val="both"/>
              <w:textAlignment w:val="auto"/>
              <w:rPr>
                <w:kern w:val="2"/>
                <w:sz w:val="24"/>
                <w:szCs w:val="24"/>
              </w:rPr>
            </w:pPr>
            <w:r w:rsidRPr="001D6AB1">
              <w:rPr>
                <w:sz w:val="24"/>
                <w:szCs w:val="24"/>
              </w:rPr>
              <w:t>(</w:t>
            </w:r>
            <w:r w:rsidR="000C6B7B" w:rsidRPr="001D6AB1">
              <w:rPr>
                <w:sz w:val="24"/>
                <w:szCs w:val="24"/>
              </w:rPr>
              <w:t>四</w:t>
            </w:r>
            <w:r w:rsidRPr="001D6AB1">
              <w:rPr>
                <w:sz w:val="24"/>
                <w:szCs w:val="24"/>
              </w:rPr>
              <w:t>)</w:t>
            </w:r>
            <w:r w:rsidR="000C6B7B" w:rsidRPr="001D6AB1">
              <w:rPr>
                <w:sz w:val="24"/>
                <w:szCs w:val="24"/>
              </w:rPr>
              <w:t>農、漁會信用部業務管理</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三、稅務行政管理</w:t>
            </w:r>
          </w:p>
          <w:p w:rsidR="005B786F" w:rsidRPr="001D6AB1" w:rsidRDefault="00D545F5" w:rsidP="0095539C">
            <w:pPr>
              <w:pStyle w:val="ac"/>
              <w:tabs>
                <w:tab w:val="left" w:pos="495"/>
              </w:tabs>
              <w:suppressAutoHyphens w:val="0"/>
              <w:autoSpaceDN/>
              <w:snapToGrid/>
              <w:spacing w:line="360" w:lineRule="exact"/>
              <w:ind w:leftChars="140" w:left="864" w:rightChars="20" w:right="48" w:hangingChars="220" w:hanging="528"/>
              <w:contextualSpacing/>
              <w:jc w:val="both"/>
              <w:textAlignment w:val="auto"/>
              <w:rPr>
                <w:sz w:val="24"/>
                <w:szCs w:val="24"/>
              </w:rPr>
            </w:pPr>
            <w:r w:rsidRPr="001D6AB1">
              <w:rPr>
                <w:sz w:val="24"/>
                <w:szCs w:val="24"/>
              </w:rPr>
              <w:t>(</w:t>
            </w:r>
            <w:r w:rsidRPr="001D6AB1">
              <w:rPr>
                <w:rFonts w:hint="eastAsia"/>
                <w:sz w:val="24"/>
                <w:szCs w:val="24"/>
              </w:rPr>
              <w:t>一</w:t>
            </w:r>
            <w:r w:rsidRPr="001D6AB1">
              <w:rPr>
                <w:sz w:val="24"/>
                <w:szCs w:val="24"/>
              </w:rPr>
              <w:t>)</w:t>
            </w:r>
            <w:r w:rsidR="000C6B7B" w:rsidRPr="001D6AB1">
              <w:rPr>
                <w:sz w:val="24"/>
                <w:szCs w:val="24"/>
              </w:rPr>
              <w:t>開徵囤房稅，落實居住正義</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0C6B7B" w:rsidP="0095539C">
            <w:pPr>
              <w:pStyle w:val="ac"/>
              <w:tabs>
                <w:tab w:val="left" w:pos="495"/>
              </w:tabs>
              <w:suppressAutoHyphens w:val="0"/>
              <w:autoSpaceDN/>
              <w:snapToGrid/>
              <w:spacing w:line="360" w:lineRule="exact"/>
              <w:ind w:leftChars="140" w:left="864" w:rightChars="20" w:right="48" w:hangingChars="220" w:hanging="528"/>
              <w:contextualSpacing/>
              <w:jc w:val="both"/>
              <w:textAlignment w:val="auto"/>
              <w:rPr>
                <w:sz w:val="24"/>
                <w:szCs w:val="24"/>
              </w:rPr>
            </w:pPr>
            <w:r w:rsidRPr="001D6AB1">
              <w:rPr>
                <w:sz w:val="24"/>
                <w:szCs w:val="24"/>
              </w:rPr>
              <w:t>(二)重行評定房屋標準價格</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276CDA" w:rsidRPr="001D6AB1" w:rsidRDefault="00276CDA"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0C6B7B" w:rsidP="0095539C">
            <w:pPr>
              <w:pStyle w:val="ac"/>
              <w:tabs>
                <w:tab w:val="left" w:pos="495"/>
              </w:tabs>
              <w:suppressAutoHyphens w:val="0"/>
              <w:autoSpaceDN/>
              <w:snapToGrid/>
              <w:spacing w:line="360" w:lineRule="exact"/>
              <w:ind w:leftChars="140" w:left="864" w:rightChars="20" w:right="48" w:hangingChars="220" w:hanging="528"/>
              <w:contextualSpacing/>
              <w:jc w:val="both"/>
              <w:textAlignment w:val="auto"/>
              <w:rPr>
                <w:sz w:val="24"/>
                <w:szCs w:val="24"/>
              </w:rPr>
            </w:pPr>
            <w:r w:rsidRPr="001D6AB1">
              <w:rPr>
                <w:sz w:val="24"/>
                <w:szCs w:val="24"/>
              </w:rPr>
              <w:t>(三)本市稅捐處榮獲第20屆金檔獎殊榮</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0C6B7B" w:rsidP="0095539C">
            <w:pPr>
              <w:pStyle w:val="ac"/>
              <w:tabs>
                <w:tab w:val="left" w:pos="495"/>
              </w:tabs>
              <w:suppressAutoHyphens w:val="0"/>
              <w:autoSpaceDN/>
              <w:snapToGrid/>
              <w:spacing w:line="360" w:lineRule="exact"/>
              <w:ind w:leftChars="140" w:left="864" w:rightChars="20" w:right="48" w:hangingChars="220" w:hanging="528"/>
              <w:contextualSpacing/>
              <w:jc w:val="both"/>
              <w:textAlignment w:val="auto"/>
              <w:rPr>
                <w:sz w:val="24"/>
                <w:szCs w:val="24"/>
              </w:rPr>
            </w:pPr>
            <w:r w:rsidRPr="001D6AB1">
              <w:rPr>
                <w:sz w:val="24"/>
                <w:szCs w:val="24"/>
              </w:rPr>
              <w:t>(四)修正娛樂稅徵收自治條例(草案)，調降藝文表演娛樂稅徵收率</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CC7306" w:rsidRPr="001D6AB1" w:rsidRDefault="00CC7306"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0C6B7B" w:rsidP="0095539C">
            <w:pPr>
              <w:pStyle w:val="ac"/>
              <w:tabs>
                <w:tab w:val="left" w:pos="495"/>
              </w:tabs>
              <w:suppressAutoHyphens w:val="0"/>
              <w:autoSpaceDN/>
              <w:snapToGrid/>
              <w:spacing w:line="360" w:lineRule="exact"/>
              <w:ind w:leftChars="140" w:left="864" w:rightChars="20" w:right="48" w:hangingChars="220" w:hanging="528"/>
              <w:contextualSpacing/>
              <w:jc w:val="both"/>
              <w:textAlignment w:val="auto"/>
              <w:rPr>
                <w:sz w:val="24"/>
                <w:szCs w:val="24"/>
              </w:rPr>
            </w:pPr>
            <w:r w:rsidRPr="001D6AB1">
              <w:rPr>
                <w:sz w:val="24"/>
                <w:szCs w:val="24"/>
              </w:rPr>
              <w:lastRenderedPageBreak/>
              <w:t>(五)提供本市地方稅分期繳納服務</w:t>
            </w:r>
          </w:p>
          <w:p w:rsidR="00CC7306" w:rsidRPr="001D6AB1" w:rsidRDefault="00CC7306" w:rsidP="0095539C">
            <w:pPr>
              <w:pStyle w:val="ac"/>
              <w:tabs>
                <w:tab w:val="left" w:pos="495"/>
              </w:tabs>
              <w:suppressAutoHyphens w:val="0"/>
              <w:autoSpaceDN/>
              <w:snapToGrid/>
              <w:spacing w:line="360" w:lineRule="exact"/>
              <w:ind w:leftChars="140" w:left="864" w:rightChars="20" w:right="48" w:hangingChars="220" w:hanging="528"/>
              <w:contextualSpacing/>
              <w:jc w:val="both"/>
              <w:textAlignment w:val="auto"/>
              <w:rPr>
                <w:sz w:val="24"/>
                <w:szCs w:val="24"/>
              </w:rPr>
            </w:pPr>
          </w:p>
          <w:p w:rsidR="005B786F" w:rsidRPr="001D6AB1" w:rsidRDefault="000C6B7B" w:rsidP="0095539C">
            <w:pPr>
              <w:pStyle w:val="ac"/>
              <w:tabs>
                <w:tab w:val="left" w:pos="495"/>
              </w:tabs>
              <w:suppressAutoHyphens w:val="0"/>
              <w:autoSpaceDN/>
              <w:snapToGrid/>
              <w:spacing w:line="360" w:lineRule="exact"/>
              <w:ind w:leftChars="140" w:left="864" w:rightChars="20" w:right="48" w:hangingChars="220" w:hanging="528"/>
              <w:contextualSpacing/>
              <w:jc w:val="both"/>
              <w:textAlignment w:val="auto"/>
              <w:rPr>
                <w:sz w:val="24"/>
                <w:szCs w:val="24"/>
              </w:rPr>
            </w:pPr>
            <w:r w:rsidRPr="001D6AB1">
              <w:rPr>
                <w:sz w:val="24"/>
                <w:szCs w:val="24"/>
              </w:rPr>
              <w:t>(六)稅捐稽徵及清理欠稅情形</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D545F5" w:rsidRPr="001D6AB1" w:rsidRDefault="00D545F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0C6B7B" w:rsidP="0095539C">
            <w:pPr>
              <w:pStyle w:val="ac"/>
              <w:suppressAutoHyphens w:val="0"/>
              <w:autoSpaceDN/>
              <w:snapToGrid/>
              <w:spacing w:line="360" w:lineRule="exact"/>
              <w:ind w:leftChars="30" w:left="72" w:rightChars="50" w:right="120" w:firstLine="0"/>
              <w:contextualSpacing/>
              <w:textAlignment w:val="auto"/>
              <w:rPr>
                <w:b/>
                <w:color w:val="000000" w:themeColor="text1"/>
                <w:sz w:val="24"/>
                <w:szCs w:val="24"/>
              </w:rPr>
            </w:pPr>
            <w:r w:rsidRPr="001D6AB1">
              <w:rPr>
                <w:b/>
                <w:color w:val="000000" w:themeColor="text1"/>
                <w:sz w:val="24"/>
                <w:szCs w:val="24"/>
              </w:rPr>
              <w:t>參、菸酒管理</w:t>
            </w: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rFonts w:cs="新細明體"/>
                <w:sz w:val="24"/>
                <w:szCs w:val="24"/>
              </w:rPr>
            </w:pPr>
            <w:r w:rsidRPr="001D6AB1">
              <w:rPr>
                <w:color w:val="000000" w:themeColor="text1"/>
                <w:sz w:val="24"/>
                <w:szCs w:val="24"/>
              </w:rPr>
              <w:t>一、菸酒稽查業務</w:t>
            </w: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D545F5" w:rsidRPr="001D6AB1" w:rsidRDefault="00D545F5" w:rsidP="0095539C">
            <w:pPr>
              <w:overflowPunct w:val="0"/>
              <w:autoSpaceDE w:val="0"/>
              <w:spacing w:line="360" w:lineRule="exact"/>
              <w:ind w:left="843" w:right="72" w:hanging="485"/>
              <w:contextualSpacing/>
              <w:jc w:val="both"/>
              <w:rPr>
                <w:rFonts w:ascii="標楷體" w:eastAsia="標楷體" w:hAnsi="標楷體"/>
                <w:szCs w:val="24"/>
              </w:rPr>
            </w:pPr>
          </w:p>
          <w:p w:rsidR="00D545F5" w:rsidRPr="001D6AB1" w:rsidRDefault="00D545F5"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0" w:right="120" w:hanging="480"/>
              <w:contextualSpacing/>
              <w:jc w:val="both"/>
              <w:rPr>
                <w:rFonts w:ascii="標楷體" w:eastAsia="標楷體" w:hAnsi="標楷體"/>
                <w:szCs w:val="24"/>
              </w:rPr>
            </w:pPr>
          </w:p>
          <w:p w:rsidR="00BD73FA" w:rsidRPr="001D6AB1" w:rsidRDefault="00BD73FA" w:rsidP="0095539C">
            <w:pPr>
              <w:overflowPunct w:val="0"/>
              <w:autoSpaceDE w:val="0"/>
              <w:spacing w:line="360" w:lineRule="exact"/>
              <w:ind w:left="840" w:right="120" w:hanging="480"/>
              <w:contextualSpacing/>
              <w:jc w:val="both"/>
              <w:rPr>
                <w:rFonts w:ascii="標楷體" w:eastAsia="標楷體" w:hAnsi="標楷體"/>
                <w:szCs w:val="24"/>
              </w:rPr>
            </w:pP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二</w:t>
            </w:r>
            <w:r w:rsidR="00987D86" w:rsidRPr="001D6AB1">
              <w:rPr>
                <w:color w:val="000000" w:themeColor="text1"/>
                <w:sz w:val="24"/>
                <w:szCs w:val="24"/>
              </w:rPr>
              <w:t>、</w:t>
            </w:r>
            <w:r w:rsidRPr="001D6AB1">
              <w:rPr>
                <w:color w:val="000000" w:themeColor="text1"/>
                <w:sz w:val="24"/>
                <w:szCs w:val="24"/>
              </w:rPr>
              <w:t>菸酒宣導業務</w:t>
            </w: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843" w:right="72" w:hanging="48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600" w:right="120" w:hanging="480"/>
              <w:contextualSpacing/>
              <w:jc w:val="both"/>
              <w:rPr>
                <w:rFonts w:ascii="標楷體" w:eastAsia="標楷體" w:hAnsi="標楷體"/>
                <w:szCs w:val="24"/>
              </w:rPr>
            </w:pPr>
          </w:p>
          <w:p w:rsidR="006A0A81" w:rsidRPr="001D6AB1" w:rsidRDefault="006A0A81" w:rsidP="0095539C">
            <w:pPr>
              <w:overflowPunct w:val="0"/>
              <w:autoSpaceDE w:val="0"/>
              <w:spacing w:line="360" w:lineRule="exact"/>
              <w:ind w:left="600" w:right="120" w:hanging="480"/>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600" w:right="120" w:hanging="480"/>
              <w:contextualSpacing/>
              <w:jc w:val="both"/>
              <w:rPr>
                <w:rFonts w:ascii="標楷體" w:eastAsia="標楷體" w:hAnsi="標楷體"/>
                <w:szCs w:val="24"/>
              </w:rPr>
            </w:pPr>
          </w:p>
          <w:p w:rsidR="00E54EDC" w:rsidRPr="001D6AB1" w:rsidRDefault="00E54EDC" w:rsidP="0095539C">
            <w:pPr>
              <w:overflowPunct w:val="0"/>
              <w:autoSpaceDE w:val="0"/>
              <w:spacing w:line="360" w:lineRule="exact"/>
              <w:ind w:left="600" w:right="120" w:hanging="480"/>
              <w:contextualSpacing/>
              <w:jc w:val="both"/>
              <w:rPr>
                <w:rFonts w:ascii="標楷體" w:eastAsia="標楷體" w:hAnsi="標楷體"/>
                <w:szCs w:val="24"/>
              </w:rPr>
            </w:pPr>
          </w:p>
          <w:p w:rsidR="00BD73FA" w:rsidRPr="001D6AB1" w:rsidRDefault="00BD73FA" w:rsidP="0095539C">
            <w:pPr>
              <w:overflowPunct w:val="0"/>
              <w:autoSpaceDE w:val="0"/>
              <w:spacing w:line="360" w:lineRule="exact"/>
              <w:ind w:left="600" w:right="120" w:hanging="480"/>
              <w:contextualSpacing/>
              <w:jc w:val="both"/>
              <w:rPr>
                <w:rFonts w:ascii="標楷體" w:eastAsia="標楷體" w:hAnsi="標楷體"/>
                <w:szCs w:val="24"/>
              </w:rPr>
            </w:pPr>
          </w:p>
          <w:p w:rsidR="00E54EDC" w:rsidRPr="001D6AB1" w:rsidRDefault="00E54EDC" w:rsidP="0095539C">
            <w:pPr>
              <w:overflowPunct w:val="0"/>
              <w:autoSpaceDE w:val="0"/>
              <w:spacing w:line="360" w:lineRule="exact"/>
              <w:ind w:left="600" w:right="120" w:hanging="480"/>
              <w:contextualSpacing/>
              <w:jc w:val="both"/>
              <w:rPr>
                <w:rFonts w:ascii="標楷體" w:eastAsia="標楷體" w:hAnsi="標楷體"/>
                <w:szCs w:val="24"/>
              </w:rPr>
            </w:pP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三、菸酒案件處理業務</w:t>
            </w:r>
          </w:p>
          <w:p w:rsidR="005B786F" w:rsidRPr="001D6AB1" w:rsidRDefault="005B786F" w:rsidP="0095539C">
            <w:pPr>
              <w:overflowPunct w:val="0"/>
              <w:autoSpaceDE w:val="0"/>
              <w:spacing w:line="360" w:lineRule="exact"/>
              <w:ind w:right="5"/>
              <w:contextualSpacing/>
              <w:jc w:val="both"/>
              <w:rPr>
                <w:rFonts w:ascii="標楷體" w:eastAsia="標楷體" w:hAnsi="標楷體"/>
                <w:b/>
                <w:szCs w:val="24"/>
              </w:rPr>
            </w:pPr>
          </w:p>
          <w:p w:rsidR="005B786F" w:rsidRPr="001D6AB1" w:rsidRDefault="000C6B7B" w:rsidP="0095539C">
            <w:pPr>
              <w:pStyle w:val="ac"/>
              <w:suppressAutoHyphens w:val="0"/>
              <w:autoSpaceDN/>
              <w:snapToGrid/>
              <w:spacing w:line="360" w:lineRule="exact"/>
              <w:ind w:leftChars="30" w:left="72" w:rightChars="50" w:right="120" w:firstLine="0"/>
              <w:contextualSpacing/>
              <w:textAlignment w:val="auto"/>
              <w:rPr>
                <w:b/>
                <w:color w:val="000000" w:themeColor="text1"/>
                <w:sz w:val="24"/>
                <w:szCs w:val="24"/>
              </w:rPr>
            </w:pPr>
            <w:r w:rsidRPr="001D6AB1">
              <w:rPr>
                <w:b/>
                <w:color w:val="000000" w:themeColor="text1"/>
                <w:sz w:val="24"/>
                <w:szCs w:val="24"/>
              </w:rPr>
              <w:t>肆、公用財產管理</w:t>
            </w: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一</w:t>
            </w:r>
            <w:r w:rsidR="00987D86" w:rsidRPr="001D6AB1">
              <w:rPr>
                <w:color w:val="000000" w:themeColor="text1"/>
                <w:sz w:val="24"/>
                <w:szCs w:val="24"/>
              </w:rPr>
              <w:t>、</w:t>
            </w:r>
            <w:r w:rsidRPr="001D6AB1">
              <w:rPr>
                <w:color w:val="000000" w:themeColor="text1"/>
                <w:sz w:val="24"/>
                <w:szCs w:val="24"/>
              </w:rPr>
              <w:t>推動「高雄市市有財產管理資訊系統」之運用</w:t>
            </w:r>
          </w:p>
          <w:p w:rsidR="005B786F" w:rsidRPr="001D6AB1" w:rsidRDefault="005B786F" w:rsidP="0095539C">
            <w:pPr>
              <w:pStyle w:val="001-0"/>
              <w:snapToGrid/>
              <w:spacing w:line="360" w:lineRule="exact"/>
              <w:ind w:left="439" w:right="5" w:hanging="444"/>
              <w:contextualSpacing/>
            </w:pPr>
          </w:p>
          <w:p w:rsidR="005B786F" w:rsidRPr="001D6AB1" w:rsidRDefault="005B786F" w:rsidP="0095539C">
            <w:pPr>
              <w:pStyle w:val="001-0"/>
              <w:snapToGrid/>
              <w:spacing w:line="360" w:lineRule="exact"/>
              <w:ind w:left="439" w:right="5" w:hanging="444"/>
              <w:contextualSpacing/>
            </w:pPr>
          </w:p>
          <w:p w:rsidR="005B786F" w:rsidRPr="001D6AB1" w:rsidRDefault="005B786F" w:rsidP="0095539C">
            <w:pPr>
              <w:pStyle w:val="001-0"/>
              <w:snapToGrid/>
              <w:spacing w:line="360" w:lineRule="exact"/>
              <w:ind w:left="439" w:right="5" w:hanging="444"/>
              <w:contextualSpacing/>
            </w:pPr>
          </w:p>
          <w:p w:rsidR="005B786F" w:rsidRPr="001D6AB1" w:rsidRDefault="005B786F" w:rsidP="0095539C">
            <w:pPr>
              <w:pStyle w:val="001-0"/>
              <w:snapToGrid/>
              <w:spacing w:line="360" w:lineRule="exact"/>
              <w:ind w:left="439" w:right="5" w:hanging="444"/>
              <w:contextualSpacing/>
            </w:pPr>
          </w:p>
          <w:p w:rsidR="00D545F5" w:rsidRPr="001D6AB1" w:rsidRDefault="00D545F5" w:rsidP="0095539C">
            <w:pPr>
              <w:pStyle w:val="001-0"/>
              <w:snapToGrid/>
              <w:spacing w:line="360" w:lineRule="exact"/>
              <w:ind w:left="439" w:right="5" w:hanging="444"/>
              <w:contextualSpacing/>
            </w:pP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二、辦理公有財產檢查，健全財產管理</w:t>
            </w:r>
            <w:bookmarkStart w:id="0" w:name="_Hlk44514716"/>
            <w:r w:rsidRPr="001D6AB1">
              <w:rPr>
                <w:color w:val="000000" w:themeColor="text1"/>
                <w:sz w:val="24"/>
                <w:szCs w:val="24"/>
              </w:rPr>
              <w:t>制度</w:t>
            </w:r>
            <w:bookmarkEnd w:id="0"/>
          </w:p>
          <w:p w:rsidR="005B786F" w:rsidRPr="001D6AB1" w:rsidRDefault="005B786F" w:rsidP="0095539C">
            <w:pPr>
              <w:overflowPunct w:val="0"/>
              <w:autoSpaceDE w:val="0"/>
              <w:spacing w:line="360" w:lineRule="exact"/>
              <w:ind w:left="504" w:right="5" w:hanging="264"/>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504" w:right="5" w:hanging="264"/>
              <w:contextualSpacing/>
              <w:jc w:val="both"/>
              <w:rPr>
                <w:rFonts w:ascii="標楷體" w:eastAsia="標楷體" w:hAnsi="標楷體"/>
                <w:szCs w:val="24"/>
              </w:rPr>
            </w:pP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三、執行「高雄市市有公用閒置及低度利用房地清理利用計畫」</w:t>
            </w:r>
          </w:p>
          <w:p w:rsidR="005B786F" w:rsidRPr="001D6AB1" w:rsidRDefault="005B786F" w:rsidP="0095539C">
            <w:pPr>
              <w:overflowPunct w:val="0"/>
              <w:autoSpaceDE w:val="0"/>
              <w:spacing w:line="360" w:lineRule="exact"/>
              <w:ind w:right="72"/>
              <w:contextualSpacing/>
              <w:jc w:val="both"/>
              <w:rPr>
                <w:rFonts w:ascii="標楷體" w:eastAsia="標楷體" w:hAnsi="標楷體"/>
                <w:szCs w:val="24"/>
              </w:rPr>
            </w:pPr>
          </w:p>
          <w:p w:rsidR="005B786F" w:rsidRPr="001D6AB1" w:rsidRDefault="005B786F" w:rsidP="0095539C">
            <w:pPr>
              <w:pStyle w:val="001-0"/>
              <w:snapToGrid/>
              <w:spacing w:line="360" w:lineRule="exact"/>
              <w:ind w:left="436" w:right="19" w:hanging="218"/>
              <w:contextualSpacing/>
            </w:pP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四、協助各機關清理被占用市有不動產，健全公產管理</w:t>
            </w:r>
          </w:p>
          <w:p w:rsidR="005B786F" w:rsidRPr="001D6AB1" w:rsidRDefault="005B786F" w:rsidP="0095539C">
            <w:pPr>
              <w:overflowPunct w:val="0"/>
              <w:autoSpaceDE w:val="0"/>
              <w:spacing w:line="360" w:lineRule="exact"/>
              <w:ind w:left="17" w:right="72"/>
              <w:contextualSpacing/>
              <w:jc w:val="both"/>
              <w:rPr>
                <w:rFonts w:ascii="標楷體" w:eastAsia="標楷體" w:hAnsi="標楷體"/>
                <w:szCs w:val="24"/>
              </w:rPr>
            </w:pP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五、辦理財產管理業務教育訓練，提昇財產使用效能</w:t>
            </w:r>
          </w:p>
          <w:p w:rsidR="005B786F" w:rsidRPr="001D6AB1" w:rsidRDefault="005B786F" w:rsidP="0095539C">
            <w:pPr>
              <w:pStyle w:val="001-0"/>
              <w:snapToGrid/>
              <w:spacing w:line="360" w:lineRule="exact"/>
              <w:ind w:left="0" w:right="19" w:firstLine="0"/>
              <w:contextualSpacing/>
              <w:rPr>
                <w:rFonts w:cs="超研澤粗黑"/>
              </w:rPr>
            </w:pPr>
          </w:p>
          <w:p w:rsidR="00F6211E" w:rsidRPr="001D6AB1" w:rsidRDefault="00F6211E" w:rsidP="0095539C">
            <w:pPr>
              <w:pStyle w:val="001-0"/>
              <w:snapToGrid/>
              <w:spacing w:line="360" w:lineRule="exact"/>
              <w:ind w:left="0" w:right="19" w:firstLine="0"/>
              <w:contextualSpacing/>
              <w:rPr>
                <w:rFonts w:cs="超研澤粗黑"/>
              </w:rPr>
            </w:pP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六</w:t>
            </w:r>
            <w:r w:rsidR="00987D86" w:rsidRPr="001D6AB1">
              <w:rPr>
                <w:rFonts w:hint="eastAsia"/>
                <w:color w:val="000000" w:themeColor="text1"/>
                <w:sz w:val="24"/>
                <w:szCs w:val="24"/>
              </w:rPr>
              <w:t>、</w:t>
            </w:r>
            <w:r w:rsidRPr="001D6AB1">
              <w:rPr>
                <w:color w:val="000000" w:themeColor="text1"/>
                <w:sz w:val="24"/>
                <w:szCs w:val="24"/>
              </w:rPr>
              <w:t>促進資源再利用，增裕市庫收入</w:t>
            </w:r>
          </w:p>
          <w:p w:rsidR="005B786F" w:rsidRPr="001D6AB1" w:rsidRDefault="005B786F" w:rsidP="0095539C">
            <w:pPr>
              <w:overflowPunct w:val="0"/>
              <w:autoSpaceDE w:val="0"/>
              <w:spacing w:line="360" w:lineRule="exact"/>
              <w:ind w:left="31" w:right="120"/>
              <w:contextualSpacing/>
              <w:rPr>
                <w:rFonts w:ascii="標楷體" w:eastAsia="標楷體" w:hAnsi="標楷體" w:cs="新細明體"/>
                <w:b/>
                <w:kern w:val="0"/>
                <w:szCs w:val="24"/>
              </w:rPr>
            </w:pPr>
          </w:p>
          <w:p w:rsidR="005B786F" w:rsidRPr="001D6AB1" w:rsidRDefault="000C6B7B" w:rsidP="0095539C">
            <w:pPr>
              <w:pStyle w:val="ac"/>
              <w:suppressAutoHyphens w:val="0"/>
              <w:autoSpaceDN/>
              <w:snapToGrid/>
              <w:spacing w:line="360" w:lineRule="exact"/>
              <w:ind w:leftChars="30" w:left="72" w:rightChars="50" w:right="120" w:firstLine="0"/>
              <w:contextualSpacing/>
              <w:textAlignment w:val="auto"/>
              <w:rPr>
                <w:b/>
                <w:color w:val="000000" w:themeColor="text1"/>
                <w:sz w:val="24"/>
                <w:szCs w:val="24"/>
              </w:rPr>
            </w:pPr>
            <w:r w:rsidRPr="001D6AB1">
              <w:rPr>
                <w:b/>
                <w:color w:val="000000" w:themeColor="text1"/>
                <w:sz w:val="24"/>
                <w:szCs w:val="24"/>
              </w:rPr>
              <w:t>伍、非公用財產管理</w:t>
            </w:r>
          </w:p>
          <w:p w:rsidR="005B786F" w:rsidRPr="001D6AB1" w:rsidRDefault="00987D86"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一、</w:t>
            </w:r>
            <w:r w:rsidR="000C6B7B" w:rsidRPr="001D6AB1">
              <w:rPr>
                <w:color w:val="000000" w:themeColor="text1"/>
                <w:sz w:val="24"/>
                <w:szCs w:val="24"/>
              </w:rPr>
              <w:t>讓售市有土地</w:t>
            </w:r>
          </w:p>
          <w:p w:rsidR="005B786F" w:rsidRPr="001D6AB1" w:rsidRDefault="005B786F" w:rsidP="0095539C">
            <w:pPr>
              <w:overflowPunct w:val="0"/>
              <w:autoSpaceDE w:val="0"/>
              <w:spacing w:line="360" w:lineRule="exact"/>
              <w:ind w:left="31" w:right="120"/>
              <w:contextualSpacing/>
              <w:rPr>
                <w:rFonts w:ascii="標楷體" w:eastAsia="標楷體" w:hAnsi="標楷體" w:cs="新細明體"/>
                <w:kern w:val="0"/>
                <w:szCs w:val="24"/>
              </w:rPr>
            </w:pPr>
          </w:p>
          <w:p w:rsidR="005B786F" w:rsidRPr="001D6AB1" w:rsidRDefault="005B786F" w:rsidP="0095539C">
            <w:pPr>
              <w:overflowPunct w:val="0"/>
              <w:autoSpaceDE w:val="0"/>
              <w:spacing w:line="360" w:lineRule="exact"/>
              <w:ind w:left="31" w:right="120"/>
              <w:contextualSpacing/>
              <w:rPr>
                <w:rFonts w:ascii="標楷體" w:eastAsia="標楷體" w:hAnsi="標楷體" w:cs="新細明體"/>
                <w:kern w:val="0"/>
                <w:szCs w:val="24"/>
              </w:rPr>
            </w:pP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二、出租市有房地</w:t>
            </w:r>
          </w:p>
          <w:p w:rsidR="005B786F" w:rsidRPr="001D6AB1" w:rsidRDefault="005B786F" w:rsidP="0095539C">
            <w:pPr>
              <w:overflowPunct w:val="0"/>
              <w:autoSpaceDE w:val="0"/>
              <w:spacing w:line="360" w:lineRule="exact"/>
              <w:ind w:left="31" w:right="120"/>
              <w:contextualSpacing/>
              <w:rPr>
                <w:rFonts w:ascii="標楷體" w:eastAsia="標楷體" w:hAnsi="標楷體" w:cs="新細明體"/>
                <w:kern w:val="0"/>
                <w:szCs w:val="24"/>
              </w:rPr>
            </w:pPr>
          </w:p>
          <w:p w:rsidR="006E6A38" w:rsidRPr="001D6AB1" w:rsidRDefault="006E6A38" w:rsidP="0095539C">
            <w:pPr>
              <w:overflowPunct w:val="0"/>
              <w:autoSpaceDE w:val="0"/>
              <w:spacing w:line="360" w:lineRule="exact"/>
              <w:ind w:left="31" w:right="120"/>
              <w:contextualSpacing/>
              <w:rPr>
                <w:rFonts w:ascii="標楷體" w:eastAsia="標楷體" w:hAnsi="標楷體" w:cs="新細明體"/>
                <w:kern w:val="0"/>
                <w:szCs w:val="24"/>
              </w:rPr>
            </w:pPr>
          </w:p>
          <w:p w:rsidR="005B786F" w:rsidRPr="001D6AB1" w:rsidRDefault="005B786F" w:rsidP="0095539C">
            <w:pPr>
              <w:overflowPunct w:val="0"/>
              <w:autoSpaceDE w:val="0"/>
              <w:spacing w:line="360" w:lineRule="exact"/>
              <w:ind w:left="497" w:right="120" w:hanging="475"/>
              <w:contextualSpacing/>
              <w:rPr>
                <w:rFonts w:ascii="標楷體" w:eastAsia="標楷體" w:hAnsi="標楷體" w:cs="新細明體"/>
                <w:kern w:val="0"/>
                <w:szCs w:val="24"/>
              </w:rPr>
            </w:pPr>
          </w:p>
          <w:p w:rsidR="00BD73FA" w:rsidRPr="001D6AB1" w:rsidRDefault="00BD73FA" w:rsidP="0095539C">
            <w:pPr>
              <w:overflowPunct w:val="0"/>
              <w:autoSpaceDE w:val="0"/>
              <w:spacing w:line="360" w:lineRule="exact"/>
              <w:ind w:left="497" w:right="120" w:hanging="475"/>
              <w:contextualSpacing/>
              <w:rPr>
                <w:rFonts w:ascii="標楷體" w:eastAsia="標楷體" w:hAnsi="標楷體" w:cs="新細明體"/>
                <w:kern w:val="0"/>
                <w:szCs w:val="24"/>
              </w:rPr>
            </w:pPr>
          </w:p>
          <w:p w:rsidR="005B786F" w:rsidRPr="001D6AB1" w:rsidRDefault="00903B5A"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Pr>
                <w:color w:val="000000" w:themeColor="text1"/>
                <w:sz w:val="24"/>
                <w:szCs w:val="24"/>
              </w:rPr>
              <w:lastRenderedPageBreak/>
              <w:t>三、無權占用市有非公用財產收取使用補償金</w:t>
            </w:r>
          </w:p>
          <w:p w:rsidR="00BD73FA" w:rsidRPr="001D6AB1" w:rsidRDefault="00BD73FA" w:rsidP="0095539C">
            <w:pPr>
              <w:pStyle w:val="ac"/>
              <w:tabs>
                <w:tab w:val="left" w:pos="579"/>
                <w:tab w:val="left" w:pos="721"/>
              </w:tabs>
              <w:suppressAutoHyphens w:val="0"/>
              <w:autoSpaceDN/>
              <w:snapToGrid/>
              <w:spacing w:line="360" w:lineRule="exact"/>
              <w:ind w:leftChars="13" w:left="129" w:hangingChars="41" w:hanging="98"/>
              <w:contextualSpacing/>
              <w:jc w:val="both"/>
              <w:textAlignment w:val="auto"/>
              <w:rPr>
                <w:color w:val="000000" w:themeColor="text1"/>
                <w:sz w:val="24"/>
                <w:szCs w:val="24"/>
              </w:rPr>
            </w:pPr>
          </w:p>
          <w:p w:rsidR="005B786F" w:rsidRPr="001D6AB1" w:rsidRDefault="000C6B7B" w:rsidP="0095539C">
            <w:pPr>
              <w:pStyle w:val="ac"/>
              <w:suppressAutoHyphens w:val="0"/>
              <w:autoSpaceDN/>
              <w:snapToGrid/>
              <w:spacing w:line="360" w:lineRule="exact"/>
              <w:ind w:leftChars="30" w:left="72" w:rightChars="50" w:right="120" w:firstLine="0"/>
              <w:contextualSpacing/>
              <w:textAlignment w:val="auto"/>
              <w:rPr>
                <w:b/>
                <w:color w:val="000000" w:themeColor="text1"/>
                <w:sz w:val="24"/>
                <w:szCs w:val="24"/>
              </w:rPr>
            </w:pPr>
            <w:r w:rsidRPr="001D6AB1">
              <w:rPr>
                <w:b/>
                <w:color w:val="000000" w:themeColor="text1"/>
                <w:sz w:val="24"/>
                <w:szCs w:val="24"/>
              </w:rPr>
              <w:t>陸、非公用財產開發</w:t>
            </w:r>
          </w:p>
          <w:p w:rsidR="005B786F" w:rsidRPr="001D6AB1" w:rsidRDefault="000C6B7B" w:rsidP="0095539C">
            <w:pPr>
              <w:suppressAutoHyphens w:val="0"/>
              <w:overflowPunct w:val="0"/>
              <w:autoSpaceDE w:val="0"/>
              <w:spacing w:line="360" w:lineRule="exact"/>
              <w:ind w:left="578" w:rightChars="50" w:right="120"/>
              <w:contextualSpacing/>
              <w:jc w:val="both"/>
              <w:textAlignment w:val="auto"/>
              <w:rPr>
                <w:rFonts w:ascii="標楷體" w:eastAsia="標楷體" w:hAnsi="標楷體" w:cs="新細明體"/>
                <w:kern w:val="0"/>
                <w:szCs w:val="24"/>
              </w:rPr>
            </w:pPr>
            <w:r w:rsidRPr="001D6AB1">
              <w:rPr>
                <w:rFonts w:ascii="標楷體" w:eastAsia="標楷體" w:hAnsi="標楷體" w:cs="新細明體"/>
                <w:kern w:val="0"/>
                <w:szCs w:val="24"/>
              </w:rPr>
              <w:t>擔任市府促參案件窗口，協助各機關推動促參案件</w:t>
            </w: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一、已簽約促參及開發案件</w:t>
            </w:r>
          </w:p>
          <w:p w:rsidR="005B786F" w:rsidRPr="001D6AB1" w:rsidRDefault="005B786F" w:rsidP="0095539C">
            <w:pPr>
              <w:autoSpaceDE w:val="0"/>
              <w:spacing w:line="360" w:lineRule="exact"/>
              <w:ind w:left="31" w:right="120"/>
              <w:contextualSpacing/>
              <w:rPr>
                <w:rFonts w:ascii="標楷體" w:eastAsia="標楷體" w:hAnsi="標楷體" w:cs="新細明體"/>
                <w:kern w:val="0"/>
                <w:szCs w:val="24"/>
              </w:rPr>
            </w:pPr>
          </w:p>
          <w:p w:rsidR="00BB2915" w:rsidRPr="001D6AB1" w:rsidRDefault="00BB2915" w:rsidP="0095539C">
            <w:pPr>
              <w:autoSpaceDE w:val="0"/>
              <w:spacing w:line="360" w:lineRule="exact"/>
              <w:ind w:left="31" w:right="120"/>
              <w:contextualSpacing/>
              <w:rPr>
                <w:rFonts w:ascii="標楷體" w:eastAsia="標楷體" w:hAnsi="標楷體" w:cs="新細明體"/>
                <w:kern w:val="0"/>
                <w:szCs w:val="24"/>
              </w:rPr>
            </w:pP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二、公告中促參及開發案件</w:t>
            </w:r>
          </w:p>
          <w:p w:rsidR="005B786F" w:rsidRPr="001D6AB1" w:rsidRDefault="005B786F" w:rsidP="0095539C">
            <w:pPr>
              <w:autoSpaceDE w:val="0"/>
              <w:spacing w:line="360" w:lineRule="exact"/>
              <w:ind w:left="31" w:right="120"/>
              <w:contextualSpacing/>
              <w:rPr>
                <w:rFonts w:ascii="標楷體" w:eastAsia="標楷體" w:hAnsi="標楷體" w:cs="新細明體"/>
                <w:kern w:val="0"/>
                <w:szCs w:val="24"/>
              </w:rPr>
            </w:pP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三、規劃辦理中促參及開發案件</w:t>
            </w:r>
          </w:p>
          <w:p w:rsidR="005B786F" w:rsidRPr="001D6AB1" w:rsidRDefault="005B786F" w:rsidP="0095539C">
            <w:pPr>
              <w:autoSpaceDE w:val="0"/>
              <w:spacing w:line="360" w:lineRule="exact"/>
              <w:ind w:left="31" w:right="120"/>
              <w:contextualSpacing/>
              <w:rPr>
                <w:rFonts w:ascii="標楷體" w:eastAsia="標楷體" w:hAnsi="標楷體" w:cs="新細明體"/>
                <w:kern w:val="0"/>
                <w:szCs w:val="24"/>
              </w:rPr>
            </w:pP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四、協助各機關爭取促參前置作業費補助</w:t>
            </w:r>
          </w:p>
          <w:p w:rsidR="005B786F" w:rsidRPr="001D6AB1" w:rsidRDefault="005B786F" w:rsidP="0095539C">
            <w:pPr>
              <w:overflowPunct w:val="0"/>
              <w:autoSpaceDE w:val="0"/>
              <w:spacing w:line="360" w:lineRule="exact"/>
              <w:ind w:left="495" w:right="120" w:hanging="377"/>
              <w:contextualSpacing/>
              <w:rPr>
                <w:rFonts w:ascii="標楷體" w:eastAsia="標楷體" w:hAnsi="標楷體"/>
                <w:szCs w:val="24"/>
              </w:rPr>
            </w:pPr>
          </w:p>
          <w:p w:rsidR="005B786F" w:rsidRPr="001D6AB1" w:rsidRDefault="000C6B7B" w:rsidP="0095539C">
            <w:pPr>
              <w:pStyle w:val="ac"/>
              <w:suppressAutoHyphens w:val="0"/>
              <w:autoSpaceDN/>
              <w:snapToGrid/>
              <w:spacing w:line="360" w:lineRule="exact"/>
              <w:ind w:leftChars="30" w:left="567" w:rightChars="50" w:right="120" w:hangingChars="206" w:hanging="495"/>
              <w:contextualSpacing/>
              <w:textAlignment w:val="auto"/>
              <w:rPr>
                <w:b/>
                <w:color w:val="000000" w:themeColor="text1"/>
                <w:sz w:val="24"/>
                <w:szCs w:val="24"/>
              </w:rPr>
            </w:pPr>
            <w:r w:rsidRPr="001D6AB1">
              <w:rPr>
                <w:b/>
                <w:color w:val="000000" w:themeColor="text1"/>
                <w:sz w:val="24"/>
                <w:szCs w:val="24"/>
              </w:rPr>
              <w:t>柒、集中支付及市庫現金管理</w:t>
            </w: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一、支付作業管理</w:t>
            </w:r>
          </w:p>
          <w:p w:rsidR="005B786F" w:rsidRPr="001D6AB1" w:rsidRDefault="005B786F" w:rsidP="0095539C">
            <w:pPr>
              <w:widowControl/>
              <w:overflowPunct w:val="0"/>
              <w:autoSpaceDE w:val="0"/>
              <w:spacing w:before="180" w:after="180" w:line="360" w:lineRule="exact"/>
              <w:ind w:left="360" w:right="72" w:hanging="360"/>
              <w:contextualSpacing/>
              <w:rPr>
                <w:rFonts w:ascii="標楷體" w:eastAsia="標楷體" w:hAnsi="標楷體"/>
                <w:szCs w:val="24"/>
              </w:rPr>
            </w:pPr>
          </w:p>
          <w:p w:rsidR="005B786F" w:rsidRPr="001D6AB1" w:rsidRDefault="005B786F" w:rsidP="0095539C">
            <w:pPr>
              <w:widowControl/>
              <w:overflowPunct w:val="0"/>
              <w:autoSpaceDE w:val="0"/>
              <w:spacing w:before="180" w:after="180" w:line="360" w:lineRule="exact"/>
              <w:ind w:left="360" w:right="72" w:hanging="360"/>
              <w:contextualSpacing/>
              <w:rPr>
                <w:rFonts w:ascii="標楷體" w:eastAsia="標楷體" w:hAnsi="標楷體"/>
                <w:szCs w:val="24"/>
              </w:rPr>
            </w:pPr>
          </w:p>
          <w:p w:rsidR="005B786F" w:rsidRPr="001D6AB1" w:rsidRDefault="005B786F" w:rsidP="0095539C">
            <w:pPr>
              <w:overflowPunct w:val="0"/>
              <w:autoSpaceDE w:val="0"/>
              <w:spacing w:line="360" w:lineRule="exact"/>
              <w:ind w:left="456" w:hanging="360"/>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456" w:hanging="360"/>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456" w:hanging="360"/>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456" w:hanging="360"/>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456" w:hanging="360"/>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456" w:hanging="360"/>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456" w:hanging="360"/>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453" w:hanging="357"/>
              <w:contextualSpacing/>
              <w:jc w:val="both"/>
              <w:rPr>
                <w:rFonts w:ascii="標楷體" w:eastAsia="標楷體" w:hAnsi="標楷體"/>
                <w:szCs w:val="24"/>
              </w:rPr>
            </w:pPr>
          </w:p>
          <w:p w:rsidR="00CC7306" w:rsidRPr="001D6AB1" w:rsidRDefault="00CC7306" w:rsidP="0095539C">
            <w:pPr>
              <w:overflowPunct w:val="0"/>
              <w:autoSpaceDE w:val="0"/>
              <w:spacing w:line="360" w:lineRule="exact"/>
              <w:ind w:left="453" w:hanging="357"/>
              <w:contextualSpacing/>
              <w:jc w:val="both"/>
              <w:rPr>
                <w:rFonts w:ascii="標楷體" w:eastAsia="標楷體" w:hAnsi="標楷體"/>
                <w:szCs w:val="24"/>
              </w:rPr>
            </w:pPr>
          </w:p>
          <w:p w:rsidR="0095539C" w:rsidRPr="001D6AB1" w:rsidRDefault="0095539C" w:rsidP="0095539C">
            <w:pPr>
              <w:overflowPunct w:val="0"/>
              <w:autoSpaceDE w:val="0"/>
              <w:spacing w:line="360" w:lineRule="exact"/>
              <w:ind w:left="453" w:hanging="357"/>
              <w:contextualSpacing/>
              <w:jc w:val="both"/>
              <w:rPr>
                <w:rFonts w:ascii="標楷體" w:eastAsia="標楷體" w:hAnsi="標楷體"/>
                <w:szCs w:val="24"/>
              </w:rPr>
            </w:pP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lastRenderedPageBreak/>
              <w:t>二、支付系統及市庫現金管理</w:t>
            </w:r>
          </w:p>
          <w:p w:rsidR="005B786F" w:rsidRPr="001D6AB1" w:rsidRDefault="005B786F" w:rsidP="0095539C">
            <w:pPr>
              <w:overflowPunct w:val="0"/>
              <w:autoSpaceDE w:val="0"/>
              <w:spacing w:line="360" w:lineRule="exact"/>
              <w:ind w:left="17" w:right="72"/>
              <w:contextualSpacing/>
              <w:jc w:val="both"/>
              <w:rPr>
                <w:rFonts w:ascii="標楷體" w:eastAsia="標楷體" w:hAnsi="標楷體"/>
                <w:szCs w:val="24"/>
              </w:rPr>
            </w:pPr>
          </w:p>
          <w:p w:rsidR="00BD73FA" w:rsidRPr="001D6AB1" w:rsidRDefault="00BD73FA" w:rsidP="0095539C">
            <w:pPr>
              <w:overflowPunct w:val="0"/>
              <w:autoSpaceDE w:val="0"/>
              <w:spacing w:line="360" w:lineRule="exact"/>
              <w:ind w:left="17" w:right="72"/>
              <w:contextualSpacing/>
              <w:jc w:val="both"/>
              <w:rPr>
                <w:rFonts w:ascii="標楷體" w:eastAsia="標楷體" w:hAnsi="標楷體"/>
                <w:szCs w:val="24"/>
              </w:rPr>
            </w:pPr>
          </w:p>
          <w:p w:rsidR="00BD73FA" w:rsidRPr="001D6AB1" w:rsidRDefault="00BD73FA" w:rsidP="0095539C">
            <w:pPr>
              <w:overflowPunct w:val="0"/>
              <w:autoSpaceDE w:val="0"/>
              <w:spacing w:line="360" w:lineRule="exact"/>
              <w:ind w:left="17" w:right="72"/>
              <w:contextualSpacing/>
              <w:jc w:val="both"/>
              <w:rPr>
                <w:rFonts w:ascii="標楷體" w:eastAsia="標楷體" w:hAnsi="標楷體"/>
                <w:szCs w:val="24"/>
              </w:rPr>
            </w:pPr>
          </w:p>
          <w:p w:rsidR="005B786F" w:rsidRPr="001D6AB1" w:rsidRDefault="000C6B7B" w:rsidP="0095539C">
            <w:pPr>
              <w:pStyle w:val="ac"/>
              <w:suppressAutoHyphens w:val="0"/>
              <w:autoSpaceDN/>
              <w:snapToGrid/>
              <w:spacing w:line="360" w:lineRule="exact"/>
              <w:ind w:leftChars="30" w:left="567" w:rightChars="50" w:right="120" w:hangingChars="206" w:hanging="495"/>
              <w:contextualSpacing/>
              <w:textAlignment w:val="auto"/>
              <w:rPr>
                <w:b/>
                <w:color w:val="000000" w:themeColor="text1"/>
                <w:sz w:val="24"/>
                <w:szCs w:val="24"/>
              </w:rPr>
            </w:pPr>
            <w:r w:rsidRPr="001D6AB1">
              <w:rPr>
                <w:b/>
                <w:color w:val="000000" w:themeColor="text1"/>
                <w:sz w:val="24"/>
                <w:szCs w:val="24"/>
              </w:rPr>
              <w:t>捌、市債管理</w:t>
            </w:r>
          </w:p>
          <w:p w:rsidR="005B786F" w:rsidRPr="001D6AB1" w:rsidRDefault="005B786F" w:rsidP="0095539C">
            <w:pPr>
              <w:overflowPunct w:val="0"/>
              <w:autoSpaceDE w:val="0"/>
              <w:spacing w:line="360" w:lineRule="exact"/>
              <w:ind w:right="72"/>
              <w:contextualSpacing/>
              <w:jc w:val="both"/>
              <w:rPr>
                <w:rFonts w:ascii="標楷體" w:eastAsia="標楷體" w:hAnsi="標楷體"/>
                <w:szCs w:val="24"/>
              </w:rPr>
            </w:pPr>
          </w:p>
          <w:p w:rsidR="005B786F" w:rsidRPr="001D6AB1" w:rsidRDefault="005B786F" w:rsidP="0095539C">
            <w:pPr>
              <w:overflowPunct w:val="0"/>
              <w:autoSpaceDE w:val="0"/>
              <w:spacing w:line="360" w:lineRule="exact"/>
              <w:ind w:right="120"/>
              <w:contextualSpacing/>
              <w:jc w:val="both"/>
              <w:rPr>
                <w:rFonts w:ascii="標楷體" w:eastAsia="標楷體" w:hAnsi="標楷體"/>
                <w:b/>
                <w:szCs w:val="24"/>
              </w:rPr>
            </w:pPr>
          </w:p>
          <w:p w:rsidR="005B786F" w:rsidRPr="001D6AB1" w:rsidRDefault="000C6B7B" w:rsidP="0095539C">
            <w:pPr>
              <w:pStyle w:val="ac"/>
              <w:suppressAutoHyphens w:val="0"/>
              <w:autoSpaceDN/>
              <w:snapToGrid/>
              <w:spacing w:line="360" w:lineRule="exact"/>
              <w:ind w:leftChars="30" w:left="567" w:rightChars="50" w:right="120" w:hangingChars="206" w:hanging="495"/>
              <w:contextualSpacing/>
              <w:textAlignment w:val="auto"/>
              <w:rPr>
                <w:b/>
                <w:color w:val="000000" w:themeColor="text1"/>
                <w:sz w:val="24"/>
                <w:szCs w:val="24"/>
              </w:rPr>
            </w:pPr>
            <w:r w:rsidRPr="001D6AB1">
              <w:rPr>
                <w:b/>
                <w:color w:val="000000" w:themeColor="text1"/>
                <w:sz w:val="24"/>
                <w:szCs w:val="24"/>
              </w:rPr>
              <w:t>玖、債務付息</w:t>
            </w: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一、支付債務利息及賒借收入利息</w:t>
            </w:r>
          </w:p>
          <w:p w:rsidR="005B786F" w:rsidRPr="001D6AB1" w:rsidRDefault="005B786F" w:rsidP="0095539C">
            <w:pPr>
              <w:overflowPunct w:val="0"/>
              <w:autoSpaceDE w:val="0"/>
              <w:spacing w:line="360" w:lineRule="exact"/>
              <w:ind w:left="704" w:right="72" w:hanging="464"/>
              <w:contextualSpacing/>
              <w:jc w:val="both"/>
              <w:rPr>
                <w:rFonts w:ascii="標楷體" w:eastAsia="標楷體" w:hAnsi="標楷體"/>
                <w:spacing w:val="-4"/>
                <w:szCs w:val="24"/>
              </w:rPr>
            </w:pPr>
          </w:p>
          <w:p w:rsidR="005B786F" w:rsidRPr="001D6AB1" w:rsidRDefault="000C6B7B" w:rsidP="0095539C">
            <w:pPr>
              <w:pStyle w:val="ac"/>
              <w:tabs>
                <w:tab w:val="left" w:pos="579"/>
                <w:tab w:val="left" w:pos="721"/>
              </w:tabs>
              <w:suppressAutoHyphens w:val="0"/>
              <w:autoSpaceDN/>
              <w:snapToGrid/>
              <w:spacing w:line="360" w:lineRule="exact"/>
              <w:ind w:leftChars="100" w:left="751" w:hangingChars="213" w:hanging="511"/>
              <w:contextualSpacing/>
              <w:jc w:val="both"/>
              <w:textAlignment w:val="auto"/>
              <w:rPr>
                <w:color w:val="000000" w:themeColor="text1"/>
                <w:sz w:val="24"/>
                <w:szCs w:val="24"/>
              </w:rPr>
            </w:pPr>
            <w:r w:rsidRPr="001D6AB1">
              <w:rPr>
                <w:color w:val="000000" w:themeColor="text1"/>
                <w:sz w:val="24"/>
                <w:szCs w:val="24"/>
              </w:rPr>
              <w:t>二、支付市庫調借款項利息</w:t>
            </w:r>
          </w:p>
          <w:p w:rsidR="005B786F" w:rsidRPr="001D6AB1" w:rsidRDefault="005B786F" w:rsidP="0095539C">
            <w:pPr>
              <w:overflowPunct w:val="0"/>
              <w:autoSpaceDE w:val="0"/>
              <w:spacing w:line="360" w:lineRule="exact"/>
              <w:ind w:right="72"/>
              <w:contextualSpacing/>
              <w:jc w:val="both"/>
              <w:rPr>
                <w:rFonts w:ascii="標楷體" w:eastAsia="標楷體" w:hAnsi="標楷體"/>
                <w:b/>
                <w:szCs w:val="24"/>
              </w:rPr>
            </w:pPr>
          </w:p>
          <w:p w:rsidR="005B786F" w:rsidRPr="001D6AB1" w:rsidRDefault="000C6B7B" w:rsidP="0095539C">
            <w:pPr>
              <w:pStyle w:val="ac"/>
              <w:suppressAutoHyphens w:val="0"/>
              <w:autoSpaceDN/>
              <w:snapToGrid/>
              <w:spacing w:line="360" w:lineRule="exact"/>
              <w:ind w:leftChars="30" w:left="567" w:rightChars="50" w:right="120" w:hangingChars="206" w:hanging="495"/>
              <w:contextualSpacing/>
              <w:textAlignment w:val="auto"/>
              <w:rPr>
                <w:b/>
                <w:color w:val="000000" w:themeColor="text1"/>
                <w:sz w:val="24"/>
                <w:szCs w:val="24"/>
              </w:rPr>
            </w:pPr>
            <w:r w:rsidRPr="001D6AB1">
              <w:rPr>
                <w:b/>
                <w:color w:val="000000" w:themeColor="text1"/>
                <w:sz w:val="24"/>
                <w:szCs w:val="24"/>
              </w:rPr>
              <w:t>拾、債務還本</w:t>
            </w:r>
          </w:p>
          <w:p w:rsidR="005B786F" w:rsidRPr="001D6AB1" w:rsidRDefault="005B786F" w:rsidP="0095539C">
            <w:pPr>
              <w:overflowPunct w:val="0"/>
              <w:autoSpaceDE w:val="0"/>
              <w:spacing w:line="360" w:lineRule="exact"/>
              <w:ind w:left="721" w:hanging="721"/>
              <w:contextualSpacing/>
              <w:jc w:val="both"/>
              <w:rPr>
                <w:rFonts w:ascii="標楷體" w:eastAsia="標楷體" w:hAnsi="標楷體"/>
                <w:b/>
                <w:szCs w:val="24"/>
              </w:rPr>
            </w:pPr>
          </w:p>
          <w:p w:rsidR="005B786F" w:rsidRPr="001D6AB1" w:rsidRDefault="000C6B7B" w:rsidP="0095539C">
            <w:pPr>
              <w:pStyle w:val="ac"/>
              <w:suppressAutoHyphens w:val="0"/>
              <w:autoSpaceDN/>
              <w:snapToGrid/>
              <w:spacing w:line="360" w:lineRule="exact"/>
              <w:ind w:leftChars="30" w:left="841" w:rightChars="50" w:right="120" w:hangingChars="320" w:hanging="769"/>
              <w:contextualSpacing/>
              <w:textAlignment w:val="auto"/>
              <w:rPr>
                <w:b/>
                <w:color w:val="000000" w:themeColor="text1"/>
                <w:sz w:val="24"/>
                <w:szCs w:val="24"/>
              </w:rPr>
            </w:pPr>
            <w:r w:rsidRPr="001D6AB1">
              <w:rPr>
                <w:b/>
                <w:color w:val="000000" w:themeColor="text1"/>
                <w:sz w:val="24"/>
                <w:szCs w:val="24"/>
              </w:rPr>
              <w:t>拾壹、稅捐稽徵與管理稅捐稽徵處</w:t>
            </w:r>
          </w:p>
          <w:p w:rsidR="005B786F" w:rsidRPr="001D6AB1" w:rsidRDefault="000C6B7B" w:rsidP="0095539C">
            <w:pPr>
              <w:pStyle w:val="ac"/>
              <w:widowControl w:val="0"/>
              <w:suppressAutoHyphens w:val="0"/>
              <w:overflowPunct w:val="0"/>
              <w:autoSpaceDN/>
              <w:adjustRightInd w:val="0"/>
              <w:spacing w:line="360" w:lineRule="exact"/>
              <w:ind w:leftChars="200" w:left="1020" w:rightChars="30" w:right="72" w:hangingChars="225" w:hanging="540"/>
              <w:jc w:val="both"/>
              <w:textAlignment w:val="auto"/>
              <w:rPr>
                <w:color w:val="000000" w:themeColor="text1"/>
                <w:sz w:val="24"/>
                <w:szCs w:val="24"/>
              </w:rPr>
            </w:pPr>
            <w:r w:rsidRPr="001D6AB1">
              <w:rPr>
                <w:color w:val="000000" w:themeColor="text1"/>
                <w:sz w:val="24"/>
                <w:szCs w:val="24"/>
              </w:rPr>
              <w:t>ㄧ、稅捐稽徵業務</w:t>
            </w:r>
          </w:p>
          <w:p w:rsidR="005B786F" w:rsidRPr="001D6AB1" w:rsidRDefault="00525444" w:rsidP="0095539C">
            <w:pPr>
              <w:pStyle w:val="ac"/>
              <w:tabs>
                <w:tab w:val="left" w:pos="495"/>
              </w:tabs>
              <w:suppressAutoHyphens w:val="0"/>
              <w:autoSpaceDN/>
              <w:snapToGrid/>
              <w:spacing w:line="360" w:lineRule="exact"/>
              <w:ind w:leftChars="250" w:left="1128" w:rightChars="20" w:right="48" w:hangingChars="220" w:hanging="528"/>
              <w:contextualSpacing/>
              <w:jc w:val="both"/>
              <w:textAlignment w:val="auto"/>
              <w:rPr>
                <w:sz w:val="24"/>
                <w:szCs w:val="24"/>
              </w:rPr>
            </w:pPr>
            <w:r w:rsidRPr="001D6AB1">
              <w:rPr>
                <w:sz w:val="24"/>
                <w:szCs w:val="24"/>
              </w:rPr>
              <w:t>(</w:t>
            </w:r>
            <w:r w:rsidR="000C6B7B" w:rsidRPr="001D6AB1">
              <w:rPr>
                <w:sz w:val="24"/>
                <w:szCs w:val="24"/>
              </w:rPr>
              <w:t>一</w:t>
            </w:r>
            <w:r w:rsidRPr="001D6AB1">
              <w:rPr>
                <w:sz w:val="24"/>
                <w:szCs w:val="24"/>
              </w:rPr>
              <w:t>)</w:t>
            </w:r>
            <w:r w:rsidR="000C6B7B" w:rsidRPr="001D6AB1">
              <w:rPr>
                <w:sz w:val="24"/>
                <w:szCs w:val="24"/>
              </w:rPr>
              <w:t>納稅業務</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CC7306" w:rsidRPr="001D6AB1" w:rsidRDefault="00CC7306"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95539C" w:rsidRPr="001D6AB1" w:rsidRDefault="0095539C"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CC7306" w:rsidRPr="001D6AB1" w:rsidRDefault="00CC7306"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25444" w:rsidP="0095539C">
            <w:pPr>
              <w:pStyle w:val="ac"/>
              <w:tabs>
                <w:tab w:val="left" w:pos="495"/>
              </w:tabs>
              <w:suppressAutoHyphens w:val="0"/>
              <w:autoSpaceDN/>
              <w:snapToGrid/>
              <w:spacing w:line="360" w:lineRule="exact"/>
              <w:ind w:leftChars="250" w:left="1152" w:rightChars="20" w:right="48" w:hangingChars="230" w:hanging="552"/>
              <w:contextualSpacing/>
              <w:jc w:val="both"/>
              <w:textAlignment w:val="auto"/>
              <w:rPr>
                <w:sz w:val="24"/>
                <w:szCs w:val="24"/>
              </w:rPr>
            </w:pPr>
            <w:r w:rsidRPr="001D6AB1">
              <w:rPr>
                <w:sz w:val="24"/>
                <w:szCs w:val="24"/>
              </w:rPr>
              <w:t>(</w:t>
            </w:r>
            <w:r w:rsidR="000C6B7B" w:rsidRPr="001D6AB1">
              <w:rPr>
                <w:sz w:val="24"/>
                <w:szCs w:val="24"/>
              </w:rPr>
              <w:t>二</w:t>
            </w:r>
            <w:r w:rsidRPr="001D6AB1">
              <w:rPr>
                <w:sz w:val="24"/>
                <w:szCs w:val="24"/>
              </w:rPr>
              <w:t>)</w:t>
            </w:r>
            <w:r w:rsidR="000C6B7B" w:rsidRPr="001D6AB1">
              <w:rPr>
                <w:sz w:val="24"/>
                <w:szCs w:val="24"/>
              </w:rPr>
              <w:t>財產稅稽徵及工程受益費稽徵業務</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897C1D" w:rsidRPr="001D6AB1" w:rsidRDefault="00897C1D"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95539C" w:rsidRPr="001D6AB1" w:rsidRDefault="0095539C"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95539C" w:rsidRPr="001D6AB1" w:rsidRDefault="0095539C"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E54EDC" w:rsidRPr="001D6AB1" w:rsidRDefault="00E54EDC"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25444" w:rsidP="0095539C">
            <w:pPr>
              <w:pStyle w:val="ac"/>
              <w:tabs>
                <w:tab w:val="left" w:pos="495"/>
              </w:tabs>
              <w:suppressAutoHyphens w:val="0"/>
              <w:autoSpaceDN/>
              <w:snapToGrid/>
              <w:spacing w:line="360" w:lineRule="exact"/>
              <w:ind w:leftChars="250" w:left="1152" w:rightChars="20" w:right="48" w:hangingChars="230" w:hanging="552"/>
              <w:contextualSpacing/>
              <w:jc w:val="both"/>
              <w:textAlignment w:val="auto"/>
              <w:rPr>
                <w:sz w:val="24"/>
                <w:szCs w:val="24"/>
              </w:rPr>
            </w:pPr>
            <w:r w:rsidRPr="001D6AB1">
              <w:rPr>
                <w:sz w:val="24"/>
                <w:szCs w:val="24"/>
              </w:rPr>
              <w:t>(</w:t>
            </w:r>
            <w:r w:rsidR="000C6B7B" w:rsidRPr="001D6AB1">
              <w:rPr>
                <w:sz w:val="24"/>
                <w:szCs w:val="24"/>
              </w:rPr>
              <w:t>三</w:t>
            </w:r>
            <w:r w:rsidRPr="001D6AB1">
              <w:rPr>
                <w:sz w:val="24"/>
                <w:szCs w:val="24"/>
              </w:rPr>
              <w:t>)</w:t>
            </w:r>
            <w:r w:rsidR="000C6B7B" w:rsidRPr="001D6AB1">
              <w:rPr>
                <w:sz w:val="24"/>
                <w:szCs w:val="24"/>
              </w:rPr>
              <w:t>消費稅稽徵業務</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0C6B7B" w:rsidP="0095539C">
            <w:pPr>
              <w:pStyle w:val="ac"/>
              <w:widowControl w:val="0"/>
              <w:suppressAutoHyphens w:val="0"/>
              <w:overflowPunct w:val="0"/>
              <w:autoSpaceDN/>
              <w:adjustRightInd w:val="0"/>
              <w:spacing w:line="360" w:lineRule="exact"/>
              <w:ind w:leftChars="200" w:left="1020" w:rightChars="30" w:right="72" w:hangingChars="225" w:hanging="540"/>
              <w:jc w:val="both"/>
              <w:textAlignment w:val="auto"/>
              <w:rPr>
                <w:color w:val="000000" w:themeColor="text1"/>
                <w:sz w:val="24"/>
                <w:szCs w:val="24"/>
              </w:rPr>
            </w:pPr>
            <w:r w:rsidRPr="001D6AB1">
              <w:rPr>
                <w:color w:val="000000" w:themeColor="text1"/>
                <w:sz w:val="24"/>
                <w:szCs w:val="24"/>
              </w:rPr>
              <w:t>二、稅務管理</w:t>
            </w:r>
          </w:p>
          <w:p w:rsidR="005B786F" w:rsidRPr="001D6AB1" w:rsidRDefault="00525444" w:rsidP="0095539C">
            <w:pPr>
              <w:pStyle w:val="ac"/>
              <w:tabs>
                <w:tab w:val="left" w:pos="495"/>
              </w:tabs>
              <w:suppressAutoHyphens w:val="0"/>
              <w:autoSpaceDN/>
              <w:snapToGrid/>
              <w:spacing w:line="360" w:lineRule="exact"/>
              <w:ind w:leftChars="250" w:left="1152" w:rightChars="20" w:right="48" w:hangingChars="230" w:hanging="552"/>
              <w:contextualSpacing/>
              <w:jc w:val="both"/>
              <w:textAlignment w:val="auto"/>
              <w:rPr>
                <w:sz w:val="24"/>
                <w:szCs w:val="24"/>
              </w:rPr>
            </w:pPr>
            <w:r w:rsidRPr="001D6AB1">
              <w:rPr>
                <w:sz w:val="24"/>
                <w:szCs w:val="24"/>
              </w:rPr>
              <w:t>(</w:t>
            </w:r>
            <w:r w:rsidR="000C6B7B" w:rsidRPr="001D6AB1">
              <w:rPr>
                <w:sz w:val="24"/>
                <w:szCs w:val="24"/>
              </w:rPr>
              <w:t>一</w:t>
            </w:r>
            <w:r w:rsidRPr="001D6AB1">
              <w:rPr>
                <w:sz w:val="24"/>
                <w:szCs w:val="24"/>
              </w:rPr>
              <w:t>)</w:t>
            </w:r>
            <w:r w:rsidR="000C6B7B" w:rsidRPr="001D6AB1">
              <w:rPr>
                <w:sz w:val="24"/>
                <w:szCs w:val="24"/>
              </w:rPr>
              <w:t>稅務管理各項作業</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95539C" w:rsidRPr="001D6AB1" w:rsidRDefault="0095539C"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25444" w:rsidP="0095539C">
            <w:pPr>
              <w:pStyle w:val="ac"/>
              <w:tabs>
                <w:tab w:val="left" w:pos="495"/>
              </w:tabs>
              <w:suppressAutoHyphens w:val="0"/>
              <w:autoSpaceDN/>
              <w:snapToGrid/>
              <w:spacing w:line="360" w:lineRule="exact"/>
              <w:ind w:leftChars="250" w:left="1128" w:rightChars="20" w:right="48" w:hangingChars="220" w:hanging="528"/>
              <w:contextualSpacing/>
              <w:jc w:val="both"/>
              <w:textAlignment w:val="auto"/>
              <w:rPr>
                <w:sz w:val="24"/>
                <w:szCs w:val="24"/>
              </w:rPr>
            </w:pPr>
            <w:r w:rsidRPr="001D6AB1">
              <w:rPr>
                <w:sz w:val="24"/>
                <w:szCs w:val="24"/>
              </w:rPr>
              <w:t>(</w:t>
            </w:r>
            <w:r w:rsidR="000C6B7B" w:rsidRPr="001D6AB1">
              <w:rPr>
                <w:sz w:val="24"/>
                <w:szCs w:val="24"/>
              </w:rPr>
              <w:t>二</w:t>
            </w:r>
            <w:r w:rsidRPr="001D6AB1">
              <w:rPr>
                <w:sz w:val="24"/>
                <w:szCs w:val="24"/>
              </w:rPr>
              <w:t>)</w:t>
            </w:r>
            <w:r w:rsidR="000C6B7B" w:rsidRPr="001D6AB1">
              <w:rPr>
                <w:sz w:val="24"/>
                <w:szCs w:val="24"/>
              </w:rPr>
              <w:t>資訊作業</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95539C" w:rsidRPr="001D6AB1" w:rsidRDefault="0095539C"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95539C" w:rsidRPr="001D6AB1" w:rsidRDefault="0095539C"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BB2915" w:rsidRPr="001D6AB1" w:rsidRDefault="00BB291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DD69D5" w:rsidRPr="001D6AB1" w:rsidRDefault="00DD69D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DD69D5" w:rsidRPr="001D6AB1" w:rsidRDefault="00DD69D5"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25444" w:rsidP="0095539C">
            <w:pPr>
              <w:pStyle w:val="ac"/>
              <w:tabs>
                <w:tab w:val="left" w:pos="495"/>
              </w:tabs>
              <w:suppressAutoHyphens w:val="0"/>
              <w:autoSpaceDN/>
              <w:snapToGrid/>
              <w:spacing w:line="360" w:lineRule="exact"/>
              <w:ind w:leftChars="250" w:left="1152" w:rightChars="20" w:right="48" w:hangingChars="230" w:hanging="552"/>
              <w:contextualSpacing/>
              <w:jc w:val="both"/>
              <w:textAlignment w:val="auto"/>
              <w:rPr>
                <w:sz w:val="24"/>
                <w:szCs w:val="24"/>
              </w:rPr>
            </w:pPr>
            <w:r w:rsidRPr="001D6AB1">
              <w:rPr>
                <w:sz w:val="24"/>
                <w:szCs w:val="24"/>
              </w:rPr>
              <w:t>(</w:t>
            </w:r>
            <w:r w:rsidR="000C6B7B" w:rsidRPr="001D6AB1">
              <w:rPr>
                <w:sz w:val="24"/>
                <w:szCs w:val="24"/>
              </w:rPr>
              <w:t>三</w:t>
            </w:r>
            <w:r w:rsidRPr="001D6AB1">
              <w:rPr>
                <w:sz w:val="24"/>
                <w:szCs w:val="24"/>
              </w:rPr>
              <w:t>)</w:t>
            </w:r>
            <w:r w:rsidR="000C6B7B" w:rsidRPr="001D6AB1">
              <w:rPr>
                <w:sz w:val="24"/>
                <w:szCs w:val="24"/>
              </w:rPr>
              <w:t>違章審理、行政救濟及檢舉案件受理管制</w:t>
            </w: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95539C" w:rsidRDefault="0095539C"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D314EA" w:rsidRPr="001D6AB1" w:rsidRDefault="00D314EA"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5B786F" w:rsidP="0095539C">
            <w:pPr>
              <w:pStyle w:val="001-0"/>
              <w:suppressAutoHyphens w:val="0"/>
              <w:autoSpaceDN/>
              <w:snapToGrid/>
              <w:spacing w:line="360" w:lineRule="exact"/>
              <w:ind w:leftChars="150" w:left="864" w:rightChars="50" w:right="120" w:hangingChars="210" w:hanging="504"/>
              <w:contextualSpacing/>
              <w:textAlignment w:val="auto"/>
            </w:pPr>
          </w:p>
          <w:p w:rsidR="00227266" w:rsidRPr="001D6AB1" w:rsidRDefault="00227266" w:rsidP="0095539C">
            <w:pPr>
              <w:pStyle w:val="001-0"/>
              <w:suppressAutoHyphens w:val="0"/>
              <w:autoSpaceDN/>
              <w:snapToGrid/>
              <w:spacing w:line="360" w:lineRule="exact"/>
              <w:ind w:leftChars="150" w:left="864" w:rightChars="50" w:right="120" w:hangingChars="210" w:hanging="504"/>
              <w:contextualSpacing/>
              <w:textAlignment w:val="auto"/>
              <w:rPr>
                <w:kern w:val="2"/>
              </w:rPr>
            </w:pPr>
          </w:p>
          <w:p w:rsidR="005B786F" w:rsidRPr="001D6AB1" w:rsidRDefault="000C6B7B" w:rsidP="0095539C">
            <w:pPr>
              <w:pStyle w:val="ac"/>
              <w:suppressAutoHyphens w:val="0"/>
              <w:autoSpaceDN/>
              <w:snapToGrid/>
              <w:spacing w:line="360" w:lineRule="exact"/>
              <w:ind w:leftChars="30" w:left="841" w:rightChars="50" w:right="120" w:hangingChars="320" w:hanging="769"/>
              <w:contextualSpacing/>
              <w:textAlignment w:val="auto"/>
              <w:rPr>
                <w:b/>
                <w:color w:val="000000" w:themeColor="text1"/>
                <w:sz w:val="24"/>
                <w:szCs w:val="24"/>
              </w:rPr>
            </w:pPr>
            <w:r w:rsidRPr="001D6AB1">
              <w:rPr>
                <w:b/>
                <w:color w:val="000000" w:themeColor="text1"/>
                <w:sz w:val="24"/>
                <w:szCs w:val="24"/>
              </w:rPr>
              <w:t>拾貳、整體風險管理(含內部控制)推動情形</w:t>
            </w:r>
          </w:p>
          <w:p w:rsidR="005B786F" w:rsidRPr="001D6AB1" w:rsidRDefault="005B786F" w:rsidP="0095539C">
            <w:pPr>
              <w:overflowPunct w:val="0"/>
              <w:autoSpaceDE w:val="0"/>
              <w:spacing w:line="360" w:lineRule="exact"/>
              <w:ind w:left="1015" w:right="72" w:hanging="516"/>
              <w:contextualSpacing/>
              <w:jc w:val="both"/>
              <w:rPr>
                <w:rFonts w:ascii="標楷體" w:eastAsia="標楷體" w:hAnsi="標楷體"/>
                <w:szCs w:val="24"/>
              </w:rPr>
            </w:pPr>
          </w:p>
          <w:p w:rsidR="005B786F" w:rsidRPr="001D6AB1" w:rsidRDefault="005B786F" w:rsidP="0095539C">
            <w:pPr>
              <w:overflowPunct w:val="0"/>
              <w:autoSpaceDE w:val="0"/>
              <w:spacing w:line="360" w:lineRule="exact"/>
              <w:ind w:right="72"/>
              <w:contextualSpacing/>
              <w:jc w:val="both"/>
              <w:rPr>
                <w:rFonts w:ascii="標楷體" w:eastAsia="標楷體" w:hAnsi="標楷體"/>
                <w:szCs w:val="24"/>
              </w:rPr>
            </w:pPr>
          </w:p>
          <w:p w:rsidR="00AB7E90" w:rsidRPr="001D6AB1" w:rsidRDefault="00AB7E90" w:rsidP="0095539C">
            <w:pPr>
              <w:overflowPunct w:val="0"/>
              <w:autoSpaceDE w:val="0"/>
              <w:spacing w:line="360" w:lineRule="exact"/>
              <w:ind w:right="72"/>
              <w:contextualSpacing/>
              <w:jc w:val="both"/>
              <w:rPr>
                <w:rFonts w:ascii="標楷體" w:eastAsia="標楷體" w:hAnsi="標楷體"/>
                <w:szCs w:val="24"/>
              </w:rPr>
            </w:pPr>
          </w:p>
        </w:tc>
        <w:tc>
          <w:tcPr>
            <w:tcW w:w="73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5B786F" w:rsidRPr="001D6AB1" w:rsidRDefault="005B786F" w:rsidP="0095539C">
            <w:pPr>
              <w:suppressAutoHyphens w:val="0"/>
              <w:overflowPunct w:val="0"/>
              <w:autoSpaceDE w:val="0"/>
              <w:spacing w:line="360" w:lineRule="exact"/>
              <w:ind w:leftChars="50" w:left="415" w:rightChars="50" w:right="120" w:hangingChars="123" w:hanging="295"/>
              <w:contextualSpacing/>
              <w:jc w:val="both"/>
              <w:textAlignment w:val="auto"/>
              <w:rPr>
                <w:rFonts w:ascii="標楷體" w:eastAsia="標楷體" w:hAnsi="標楷體"/>
                <w:kern w:val="2"/>
                <w:szCs w:val="24"/>
              </w:rPr>
            </w:pPr>
          </w:p>
          <w:p w:rsidR="005B786F" w:rsidRPr="001D6AB1" w:rsidRDefault="005B786F" w:rsidP="0095539C">
            <w:pPr>
              <w:suppressAutoHyphens w:val="0"/>
              <w:overflowPunct w:val="0"/>
              <w:autoSpaceDE w:val="0"/>
              <w:spacing w:line="360" w:lineRule="exact"/>
              <w:ind w:leftChars="50" w:left="415" w:rightChars="50" w:right="120" w:hangingChars="123" w:hanging="295"/>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rPr>
                <w:color w:val="000000" w:themeColor="text1"/>
              </w:rPr>
              <w:t>112年度歲入預算數為1,678.33億元，</w:t>
            </w:r>
            <w:r w:rsidR="002032A9" w:rsidRPr="001D6AB1">
              <w:rPr>
                <w:color w:val="000000" w:themeColor="text1"/>
              </w:rPr>
              <w:t>粗估決算數1,662.02億元，預算達成率為99.03%。稅課收入中，房屋稅、使用牌照稅、地價稅、印花稅、娛樂稅</w:t>
            </w:r>
            <w:r w:rsidR="002032A9" w:rsidRPr="001D6AB1">
              <w:rPr>
                <w:rFonts w:hint="eastAsia"/>
                <w:color w:val="000000" w:themeColor="text1"/>
              </w:rPr>
              <w:t>、</w:t>
            </w:r>
            <w:r w:rsidR="002032A9" w:rsidRPr="001D6AB1">
              <w:rPr>
                <w:color w:val="000000" w:themeColor="text1"/>
              </w:rPr>
              <w:t>遺產及贈與稅與中央統籌分配稅等各項歲入執行率</w:t>
            </w:r>
            <w:r w:rsidR="002032A9" w:rsidRPr="001D6AB1">
              <w:rPr>
                <w:rFonts w:hint="eastAsia"/>
                <w:color w:val="000000" w:themeColor="text1"/>
              </w:rPr>
              <w:t>，</w:t>
            </w:r>
            <w:r w:rsidR="002032A9" w:rsidRPr="001D6AB1">
              <w:rPr>
                <w:color w:val="000000" w:themeColor="text1"/>
              </w:rPr>
              <w:t>及非稅課收入中，罰鍰及賠償收入、規費收入及其他收入均達預算目標，自有歲入財源達成率逾100%尚能依預算數穩定籌措，支應市政建設所需</w:t>
            </w:r>
            <w:r w:rsidRPr="001D6AB1">
              <w:rPr>
                <w:color w:val="000000" w:themeColor="text1"/>
              </w:rPr>
              <w:t>。</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EE06B2"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hint="eastAsia"/>
                <w:color w:val="000000" w:themeColor="text1"/>
                <w:kern w:val="2"/>
                <w:szCs w:val="24"/>
              </w:rPr>
              <w:t>1.</w:t>
            </w:r>
            <w:r w:rsidR="000C6B7B" w:rsidRPr="001D6AB1">
              <w:rPr>
                <w:rFonts w:ascii="標楷體" w:eastAsia="標楷體" w:hAnsi="標楷體"/>
                <w:color w:val="000000" w:themeColor="text1"/>
                <w:kern w:val="2"/>
                <w:szCs w:val="24"/>
              </w:rPr>
              <w:t>在歲入方面加強督促機關各項收入繳庫事宜，歲出方面嚴格審查各項經費支出並確實執行。</w:t>
            </w:r>
          </w:p>
          <w:p w:rsidR="005B786F" w:rsidRPr="001D6AB1" w:rsidRDefault="00EE06B2"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hint="eastAsia"/>
                <w:color w:val="000000" w:themeColor="text1"/>
                <w:kern w:val="2"/>
                <w:szCs w:val="24"/>
              </w:rPr>
              <w:t>2.</w:t>
            </w:r>
            <w:r w:rsidR="000C6B7B" w:rsidRPr="001D6AB1">
              <w:rPr>
                <w:rFonts w:ascii="標楷體" w:eastAsia="標楷體" w:hAnsi="標楷體"/>
                <w:color w:val="000000" w:themeColor="text1"/>
                <w:kern w:val="2"/>
                <w:szCs w:val="24"/>
              </w:rPr>
              <w:t>每年訂定「高雄市政府開源節流措施」年度作業計畫，</w:t>
            </w:r>
            <w:r w:rsidR="002032A9" w:rsidRPr="001D6AB1">
              <w:rPr>
                <w:rFonts w:ascii="標楷體" w:eastAsia="標楷體" w:hAnsi="標楷體"/>
                <w:color w:val="000000" w:themeColor="text1"/>
                <w:kern w:val="2"/>
                <w:szCs w:val="24"/>
              </w:rPr>
              <w:t>經本府秘書長擔任召集人之專案小組會議檢討通過後，由各機關積極執行，定期追蹤執行成果，並依「高雄市政府推動開源節流措施獎勵要點」予以考核獎勵，期能透過各項開源節流措施推動，達到改善本市財政之目標。112年度1-6月可量化項目執行績效約計284.02億元，分別為開源271.82億元及節流12.2億元</w:t>
            </w:r>
            <w:r w:rsidR="000C6B7B" w:rsidRPr="001D6AB1">
              <w:rPr>
                <w:rFonts w:ascii="標楷體" w:eastAsia="標楷體" w:hAnsi="標楷體"/>
                <w:color w:val="000000" w:themeColor="text1"/>
                <w:kern w:val="2"/>
                <w:szCs w:val="24"/>
              </w:rPr>
              <w:t>。</w:t>
            </w:r>
          </w:p>
          <w:p w:rsidR="00D545F5" w:rsidRPr="001D6AB1" w:rsidRDefault="00D545F5"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kern w:val="2"/>
                <w:szCs w:val="24"/>
              </w:rPr>
            </w:pPr>
          </w:p>
          <w:p w:rsidR="005B786F" w:rsidRPr="001D6AB1" w:rsidRDefault="005B786F"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督導各機關將各項收入，依照規定繳庫，減輕市庫利息負擔外，並依「高雄市</w:t>
            </w:r>
            <w:r w:rsidRPr="001D6AB1">
              <w:rPr>
                <w:color w:val="000000" w:themeColor="text1"/>
              </w:rPr>
              <w:t>政府</w:t>
            </w:r>
            <w:r w:rsidRPr="001D6AB1">
              <w:t>各機關爭取中央補助款績效考核獎懲要點」及「高雄市政府行政罰鍰案件及債權憑證管理作業要點」</w:t>
            </w:r>
            <w:r w:rsidR="002032A9" w:rsidRPr="001D6AB1">
              <w:t>，督促各機關積極爭取中央補助及加強各項行政罰鍰之催繳，以</w:t>
            </w:r>
            <w:r w:rsidR="002032A9" w:rsidRPr="001D6AB1">
              <w:rPr>
                <w:rFonts w:hint="eastAsia"/>
              </w:rPr>
              <w:t>維護公平</w:t>
            </w:r>
            <w:r w:rsidRPr="001D6AB1">
              <w:t>。</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督導各機關確實依「高雄市政府收入憑證使用管理要點」規定辦理，並辦理就地查訪作業，查訪機關如衛生局、勞工局、社會局家防中心及工務局建管處等機關，針對各機關自我檢核及</w:t>
            </w:r>
            <w:r w:rsidR="002032A9" w:rsidRPr="001D6AB1">
              <w:t>查訪檢視作業良</w:t>
            </w:r>
            <w:r w:rsidR="002032A9" w:rsidRPr="001D6AB1">
              <w:rPr>
                <w:rFonts w:hint="eastAsia"/>
              </w:rPr>
              <w:t>窳並予</w:t>
            </w:r>
            <w:r w:rsidR="002032A9" w:rsidRPr="001D6AB1">
              <w:t>改善</w:t>
            </w:r>
            <w:r w:rsidRPr="001D6AB1">
              <w:t>。</w:t>
            </w:r>
          </w:p>
          <w:p w:rsidR="005B786F"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903B5A" w:rsidRPr="001D6AB1" w:rsidRDefault="00903B5A"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w:t>
            </w:r>
            <w:r w:rsidR="002032A9" w:rsidRPr="001D6AB1">
              <w:rPr>
                <w:rFonts w:ascii="標楷體" w:eastAsia="標楷體" w:hAnsi="標楷體" w:hint="eastAsia"/>
                <w:color w:val="000000" w:themeColor="text1"/>
                <w:kern w:val="2"/>
                <w:szCs w:val="24"/>
              </w:rPr>
              <w:t>市長上任後</w:t>
            </w:r>
            <w:r w:rsidR="002032A9" w:rsidRPr="001D6AB1">
              <w:rPr>
                <w:rFonts w:ascii="標楷體" w:eastAsia="標楷體" w:hAnsi="標楷體"/>
                <w:color w:val="000000" w:themeColor="text1"/>
                <w:kern w:val="2"/>
                <w:szCs w:val="24"/>
              </w:rPr>
              <w:t>，</w:t>
            </w:r>
            <w:r w:rsidR="002032A9" w:rsidRPr="001D6AB1">
              <w:rPr>
                <w:rFonts w:ascii="標楷體" w:eastAsia="標楷體" w:hAnsi="標楷體" w:hint="eastAsia"/>
                <w:color w:val="000000" w:themeColor="text1"/>
                <w:kern w:val="2"/>
                <w:szCs w:val="24"/>
              </w:rPr>
              <w:t>掌握低利率時機，以較低利率公債，償還較高利率銀行借款計768億元，因公債利率固定不受升息影響，1</w:t>
            </w:r>
            <w:r w:rsidR="002032A9" w:rsidRPr="001D6AB1">
              <w:rPr>
                <w:rFonts w:ascii="標楷體" w:eastAsia="標楷體" w:hAnsi="標楷體"/>
                <w:color w:val="000000" w:themeColor="text1"/>
                <w:kern w:val="2"/>
                <w:szCs w:val="24"/>
              </w:rPr>
              <w:t>12</w:t>
            </w:r>
            <w:r w:rsidR="002032A9" w:rsidRPr="001D6AB1">
              <w:rPr>
                <w:rFonts w:ascii="標楷體" w:eastAsia="標楷體" w:hAnsi="標楷體" w:hint="eastAsia"/>
                <w:color w:val="000000" w:themeColor="text1"/>
                <w:kern w:val="2"/>
                <w:szCs w:val="24"/>
              </w:rPr>
              <w:t>年產生約7.22億元利息節省效益；</w:t>
            </w:r>
            <w:r w:rsidR="002032A9" w:rsidRPr="001D6AB1">
              <w:rPr>
                <w:rFonts w:ascii="標楷體" w:eastAsia="標楷體" w:hAnsi="標楷體"/>
                <w:color w:val="000000" w:themeColor="text1"/>
                <w:kern w:val="2"/>
                <w:szCs w:val="24"/>
              </w:rPr>
              <w:t>市長上任</w:t>
            </w:r>
            <w:r w:rsidR="002032A9" w:rsidRPr="001D6AB1">
              <w:rPr>
                <w:rFonts w:ascii="標楷體" w:eastAsia="標楷體" w:hAnsi="標楷體" w:hint="eastAsia"/>
                <w:color w:val="000000" w:themeColor="text1"/>
                <w:kern w:val="2"/>
                <w:szCs w:val="24"/>
              </w:rPr>
              <w:t>至112年底止，受限債務累計減少131億元(含償還111年初公教輔購轉入債務約16億元)</w:t>
            </w:r>
            <w:r w:rsidRPr="001D6AB1">
              <w:rPr>
                <w:rFonts w:ascii="標楷體" w:eastAsia="標楷體" w:hAnsi="標楷體"/>
                <w:color w:val="000000" w:themeColor="text1"/>
                <w:kern w:val="2"/>
                <w:szCs w:val="24"/>
              </w:rPr>
              <w:t>。</w:t>
            </w:r>
          </w:p>
          <w:p w:rsidR="00436B79" w:rsidRPr="00436B79" w:rsidRDefault="00436B79"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lastRenderedPageBreak/>
              <w:t>2.協助本府捷運局發行全國政府單位首檔綠色債券，以較低成本資金取代既有高利率銀行借款</w:t>
            </w:r>
            <w:r w:rsidR="002032A9" w:rsidRPr="001D6AB1">
              <w:rPr>
                <w:rFonts w:ascii="標楷體" w:eastAsia="標楷體" w:hAnsi="標楷體"/>
                <w:color w:val="000000" w:themeColor="text1"/>
                <w:kern w:val="2"/>
                <w:szCs w:val="24"/>
              </w:rPr>
              <w:t>，</w:t>
            </w:r>
            <w:r w:rsidR="002032A9" w:rsidRPr="001D6AB1">
              <w:rPr>
                <w:rFonts w:ascii="標楷體" w:eastAsia="標楷體" w:hAnsi="標楷體" w:hint="eastAsia"/>
                <w:color w:val="000000" w:themeColor="text1"/>
                <w:kern w:val="2"/>
                <w:szCs w:val="24"/>
              </w:rPr>
              <w:t>不</w:t>
            </w:r>
            <w:r w:rsidR="002032A9" w:rsidRPr="001D6AB1">
              <w:rPr>
                <w:rFonts w:ascii="標楷體" w:eastAsia="標楷體" w:hAnsi="標楷體"/>
                <w:color w:val="000000" w:themeColor="text1"/>
                <w:kern w:val="2"/>
                <w:szCs w:val="24"/>
              </w:rPr>
              <w:t>增加債務下</w:t>
            </w:r>
            <w:r w:rsidR="002032A9" w:rsidRPr="001D6AB1">
              <w:rPr>
                <w:rFonts w:ascii="標楷體" w:eastAsia="標楷體" w:hAnsi="標楷體" w:hint="eastAsia"/>
                <w:color w:val="000000" w:themeColor="text1"/>
                <w:kern w:val="2"/>
                <w:szCs w:val="24"/>
              </w:rPr>
              <w:t>，</w:t>
            </w:r>
            <w:r w:rsidRPr="001D6AB1">
              <w:rPr>
                <w:rFonts w:ascii="標楷體" w:eastAsia="標楷體" w:hAnsi="標楷體"/>
                <w:color w:val="000000" w:themeColor="text1"/>
                <w:kern w:val="2"/>
                <w:szCs w:val="24"/>
              </w:rPr>
              <w:t>又可減輕利息負擔，將其轉為加速推動環境永續之用。</w:t>
            </w:r>
          </w:p>
          <w:p w:rsidR="005B786F" w:rsidRPr="001D6AB1" w:rsidRDefault="005B786F"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kern w:val="2"/>
                <w:szCs w:val="24"/>
              </w:rPr>
            </w:pPr>
          </w:p>
          <w:p w:rsidR="002032A9" w:rsidRPr="001D6AB1" w:rsidRDefault="002032A9"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kern w:val="2"/>
                <w:szCs w:val="24"/>
              </w:rPr>
            </w:pPr>
          </w:p>
          <w:p w:rsidR="00D545F5" w:rsidRPr="001D6AB1" w:rsidRDefault="00D545F5"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kern w:val="2"/>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1.本府所投資高雄銀行，112年股東常會通過資本公積轉增資發行新股案，每股配發0.30元股票股利，本府共計獲配股利1,319萬餘股。</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促請本府公股股權代表續督導該行積極拓展各項營業項目，嚴格管控營業及人事費用，以利增加盈餘充實淨值，提高資本適足率。並積極配合金管會「綠色金融行動方案」，及持續落實ESG、法令遵循、風險管理及內稽內控制度，健全內部管理、提升資安防護能量、服務品質。</w:t>
            </w:r>
          </w:p>
          <w:p w:rsidR="005B786F" w:rsidRPr="001D6AB1" w:rsidRDefault="005B786F"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kern w:val="2"/>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1.督導動產質借所依相關法規辦理質借業務，並以服務為宗旨，提供低利便捷的短期融資服務。現行質借放款利率：一般民眾為月息0.9</w:t>
            </w:r>
            <w:r w:rsidR="009D276A" w:rsidRPr="001D6AB1">
              <w:rPr>
                <w:rFonts w:ascii="標楷體" w:eastAsia="標楷體" w:hAnsi="標楷體"/>
                <w:color w:val="000000" w:themeColor="text1"/>
                <w:kern w:val="2"/>
                <w:szCs w:val="24"/>
              </w:rPr>
              <w:t>%</w:t>
            </w:r>
            <w:r w:rsidRPr="001D6AB1">
              <w:rPr>
                <w:rFonts w:ascii="標楷體" w:eastAsia="標楷體" w:hAnsi="標楷體"/>
                <w:color w:val="000000" w:themeColor="text1"/>
                <w:kern w:val="2"/>
                <w:szCs w:val="24"/>
              </w:rPr>
              <w:t>，本市低收入戶為月息0.6%。</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2.112年截至</w:t>
            </w:r>
            <w:r w:rsidR="00EA7EA6" w:rsidRPr="001D6AB1">
              <w:rPr>
                <w:rFonts w:ascii="標楷體" w:eastAsia="標楷體" w:hAnsi="標楷體" w:hint="eastAsia"/>
                <w:color w:val="000000" w:themeColor="text1"/>
                <w:kern w:val="2"/>
                <w:szCs w:val="24"/>
              </w:rPr>
              <w:t>12</w:t>
            </w:r>
            <w:r w:rsidR="00EA7EA6" w:rsidRPr="001D6AB1">
              <w:rPr>
                <w:rFonts w:ascii="標楷體" w:eastAsia="標楷體" w:hAnsi="標楷體"/>
                <w:color w:val="000000" w:themeColor="text1"/>
                <w:kern w:val="2"/>
                <w:szCs w:val="24"/>
              </w:rPr>
              <w:t>月底止，總收質人次</w:t>
            </w:r>
            <w:r w:rsidR="00EA7EA6" w:rsidRPr="001D6AB1">
              <w:rPr>
                <w:rFonts w:ascii="標楷體" w:eastAsia="標楷體" w:hAnsi="標楷體" w:hint="eastAsia"/>
                <w:color w:val="000000" w:themeColor="text1"/>
                <w:kern w:val="2"/>
                <w:szCs w:val="24"/>
              </w:rPr>
              <w:t>21</w:t>
            </w:r>
            <w:r w:rsidR="00EA7EA6" w:rsidRPr="001D6AB1">
              <w:rPr>
                <w:rFonts w:ascii="標楷體" w:eastAsia="標楷體" w:hAnsi="標楷體"/>
                <w:color w:val="000000" w:themeColor="text1"/>
                <w:kern w:val="2"/>
                <w:szCs w:val="24"/>
              </w:rPr>
              <w:t>,916人，收質件數66,795件，總貸放金額為8.52億元</w:t>
            </w:r>
            <w:r w:rsidRPr="001D6AB1">
              <w:rPr>
                <w:rFonts w:ascii="標楷體" w:eastAsia="標楷體" w:hAnsi="標楷體"/>
                <w:color w:val="000000" w:themeColor="text1"/>
                <w:kern w:val="2"/>
                <w:szCs w:val="24"/>
              </w:rPr>
              <w:t>。</w:t>
            </w:r>
          </w:p>
          <w:p w:rsidR="005B786F" w:rsidRPr="001D6AB1" w:rsidRDefault="005B786F"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kern w:val="2"/>
                <w:szCs w:val="24"/>
              </w:rPr>
            </w:pPr>
          </w:p>
          <w:p w:rsidR="005B786F" w:rsidRPr="001D6AB1" w:rsidRDefault="005B786F" w:rsidP="0095539C">
            <w:pPr>
              <w:overflowPunct w:val="0"/>
              <w:autoSpaceDE w:val="0"/>
              <w:spacing w:line="360" w:lineRule="exact"/>
              <w:ind w:left="360" w:right="120" w:hanging="240"/>
              <w:contextualSpacing/>
              <w:jc w:val="both"/>
              <w:rPr>
                <w:rFonts w:ascii="標楷體" w:eastAsia="標楷體" w:hAnsi="標楷體"/>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1.本市第三信用合作社均依照章程規定，定期召開理、監事、社務會議暨社員代表大會，聽取各項工作報告、業務報告，審議各項提案。</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2.督促建立各項制度，加強社員合作教育及增進社員福利。</w:t>
            </w:r>
          </w:p>
          <w:p w:rsidR="005B786F" w:rsidRPr="001D6AB1" w:rsidRDefault="00D62001"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hint="eastAsia"/>
                <w:color w:val="000000" w:themeColor="text1"/>
                <w:kern w:val="2"/>
                <w:szCs w:val="24"/>
              </w:rPr>
              <w:t>3</w:t>
            </w:r>
            <w:r w:rsidR="000C6B7B" w:rsidRPr="001D6AB1">
              <w:rPr>
                <w:rFonts w:ascii="標楷體" w:eastAsia="標楷體" w:hAnsi="標楷體"/>
                <w:color w:val="000000" w:themeColor="text1"/>
                <w:kern w:val="2"/>
                <w:szCs w:val="24"/>
              </w:rPr>
              <w:t>.人事升遷任用確實依照人事管理規則規定辦理，並督促加強員工職前及在職訓練。</w:t>
            </w:r>
          </w:p>
          <w:p w:rsidR="005B786F" w:rsidRPr="001D6AB1" w:rsidRDefault="005B786F"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kern w:val="2"/>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1.本市第三信用合作社存放款及代理業務均依規定辦理，經金融監督管理委員會檢查之經營缺失事項，除監督檢討改善並予追蹤考核。</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2.每月依據業務報告分析經營狀況，督導改善。</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3.112年度派員查核第三信用合作社本、分社共6家變現性資產，尚未發現重大違失情形。</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4.督導信用合作社努力拓展業務，提高備抵呆帳提撥率、積極轉銷呆帳。</w:t>
            </w:r>
          </w:p>
          <w:p w:rsidR="00CC7306" w:rsidRPr="001D6AB1" w:rsidRDefault="00CC7306"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lastRenderedPageBreak/>
              <w:t>督導本市第三信用合作社辦理增股，充實自有資金，輔導監事會監察各項開支，並加強稽核，防範舞弊之發生及開源節流改善財務結構。</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1.督導農、漁會信用部依法辦理信用業務，並追蹤金檢缺失改善情 形。另配合農業局及海洋局辦理年度考核。</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2.督導農、漁會信用部積極清理逾期放款，加強催收提升經營體質，</w:t>
            </w:r>
            <w:r w:rsidR="00EA7EA6" w:rsidRPr="001D6AB1">
              <w:rPr>
                <w:rFonts w:ascii="標楷體" w:eastAsia="標楷體" w:hAnsi="標楷體"/>
                <w:color w:val="000000" w:themeColor="text1"/>
                <w:kern w:val="2"/>
                <w:szCs w:val="24"/>
              </w:rPr>
              <w:t>截至112年12月底止，本市農漁會逾放比率為0.18%，較全國農漁會逾放比率0.25%為低</w:t>
            </w:r>
            <w:r w:rsidRPr="001D6AB1">
              <w:rPr>
                <w:rFonts w:ascii="標楷體" w:eastAsia="標楷體" w:hAnsi="標楷體"/>
                <w:color w:val="000000" w:themeColor="text1"/>
                <w:kern w:val="2"/>
                <w:szCs w:val="24"/>
              </w:rPr>
              <w:t>。</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3.112年度第17屆農金獎，由全體311家設有信用部之農、漁會爭取營運卓越獎等10個獎項，本府輔導之農、漁會信用部計有2家農會分別獲得農業保險貢獻獎優等獎、農業金庫策略合作獎優等獎2座獎項之肯定。</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4.</w:t>
            </w:r>
            <w:bookmarkStart w:id="1" w:name="_Hlk29452867"/>
            <w:r w:rsidRPr="001D6AB1">
              <w:rPr>
                <w:rFonts w:ascii="標楷體" w:eastAsia="標楷體" w:hAnsi="標楷體"/>
                <w:color w:val="000000" w:themeColor="text1"/>
                <w:kern w:val="2"/>
                <w:szCs w:val="24"/>
              </w:rPr>
              <w:t>112年度派員查核農漁會共計35家(本部19家、分部16家)變現性資產</w:t>
            </w:r>
            <w:bookmarkEnd w:id="1"/>
            <w:r w:rsidRPr="001D6AB1">
              <w:rPr>
                <w:rFonts w:ascii="標楷體" w:eastAsia="標楷體" w:hAnsi="標楷體"/>
                <w:color w:val="000000" w:themeColor="text1"/>
                <w:kern w:val="2"/>
                <w:szCs w:val="24"/>
              </w:rPr>
              <w:t>，已督導其確實辦理缺失改善，並彙報農業部。</w:t>
            </w:r>
          </w:p>
          <w:p w:rsidR="005B786F" w:rsidRPr="001D6AB1" w:rsidRDefault="005B786F"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kern w:val="2"/>
                <w:szCs w:val="24"/>
              </w:rPr>
            </w:pPr>
          </w:p>
          <w:p w:rsidR="005B786F" w:rsidRPr="001D6AB1" w:rsidRDefault="005B786F" w:rsidP="0095539C">
            <w:pPr>
              <w:overflowPunct w:val="0"/>
              <w:autoSpaceDE w:val="0"/>
              <w:spacing w:line="360" w:lineRule="exact"/>
              <w:ind w:left="144" w:right="120" w:hanging="19"/>
              <w:contextualSpacing/>
              <w:jc w:val="both"/>
              <w:rPr>
                <w:rFonts w:ascii="標楷體" w:eastAsia="標楷體" w:hAnsi="標楷體"/>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本市自111年7月1日起實施「囤房稅」，首次適用於112年5月開徵之房屋稅，全數囤房稅收入3億元運用於辦理增額租金補貼、育兒租金補貼、折減社宅租金及首購房貸利息補貼，以照顧弱勢及育兒家庭居住需求。</w:t>
            </w:r>
            <w:bookmarkStart w:id="2" w:name="_GoBack"/>
            <w:bookmarkEnd w:id="2"/>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本市112年辦理重行評定房屋標準價格，經不動產評價委員審議通過房屋標準單價調升11%、折舊率不調整、調升383條路段之地段率，其他1,980條路段之地段率不調整。本次重行評定事項於112年6月17日公告自112年7月1日起適用。</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本市稅捐處112年參加「第20屆機關檔案管理金檔獎」評獎，該處積極推動各項檔案管理業務，並充分活化檔案應用，表現優異獲得評獎委員肯定，榮獲金檔獎殊榮。</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為促進本市藝文活動發展，擬具高雄市娛樂稅徵收自治條例第6條修正草案並函送議會審議，調降本市藝文表演娛樂稅徵收率。修法後所調降之各項娛樂稅徵收率，均為六都最低；如藝文表演是在本市公有及行政法人經管之表演場地演出，適用徵收率再減半。</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5B786F" w:rsidP="0095539C">
            <w:pPr>
              <w:tabs>
                <w:tab w:val="left" w:pos="2880"/>
              </w:tabs>
              <w:overflowPunct w:val="0"/>
              <w:autoSpaceDE w:val="0"/>
              <w:spacing w:line="360" w:lineRule="exact"/>
              <w:ind w:left="360" w:right="120" w:hanging="240"/>
              <w:contextualSpacing/>
              <w:jc w:val="both"/>
              <w:rPr>
                <w:rFonts w:ascii="標楷體" w:eastAsia="標楷體" w:hAnsi="標楷體"/>
                <w:szCs w:val="24"/>
              </w:rPr>
            </w:pPr>
          </w:p>
          <w:p w:rsidR="00CC7306" w:rsidRPr="001D6AB1" w:rsidRDefault="00CC7306" w:rsidP="0095539C">
            <w:pPr>
              <w:tabs>
                <w:tab w:val="left" w:pos="2880"/>
              </w:tabs>
              <w:overflowPunct w:val="0"/>
              <w:autoSpaceDE w:val="0"/>
              <w:spacing w:line="360" w:lineRule="exact"/>
              <w:ind w:left="360" w:right="120" w:hanging="240"/>
              <w:contextualSpacing/>
              <w:jc w:val="both"/>
              <w:rPr>
                <w:rFonts w:ascii="標楷體" w:eastAsia="標楷體" w:hAnsi="標楷體"/>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lastRenderedPageBreak/>
              <w:t>為協助有繳納意願之納稅義務人繳納稅捐，避免逾期繳納以致加徵滯納金或移送強制執行，故依稅捐稽徵法第26條之1規定，於112年12月29日發布訂定高雄市地方稅分期繳納辦法。</w:t>
            </w:r>
          </w:p>
          <w:p w:rsidR="00CC7306" w:rsidRPr="001D6AB1" w:rsidRDefault="00CC7306"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1.本市112年度市稅預算數437億8,900萬元；</w:t>
            </w:r>
            <w:r w:rsidR="00EA7EA6" w:rsidRPr="001D6AB1">
              <w:rPr>
                <w:rFonts w:ascii="標楷體" w:eastAsia="標楷體" w:hAnsi="標楷體"/>
                <w:color w:val="000000" w:themeColor="text1"/>
                <w:kern w:val="2"/>
                <w:szCs w:val="24"/>
              </w:rPr>
              <w:t>112年截至12月底止</w:t>
            </w:r>
            <w:r w:rsidR="00EA7EA6" w:rsidRPr="001D6AB1">
              <w:rPr>
                <w:rFonts w:ascii="標楷體" w:eastAsia="標楷體" w:hAnsi="標楷體" w:hint="eastAsia"/>
                <w:color w:val="000000" w:themeColor="text1"/>
                <w:kern w:val="2"/>
                <w:szCs w:val="24"/>
              </w:rPr>
              <w:t>執行數</w:t>
            </w:r>
            <w:r w:rsidR="00EA7EA6" w:rsidRPr="001D6AB1">
              <w:rPr>
                <w:rFonts w:ascii="標楷體" w:eastAsia="標楷體" w:hAnsi="標楷體"/>
                <w:color w:val="000000" w:themeColor="text1"/>
                <w:kern w:val="2"/>
                <w:szCs w:val="24"/>
              </w:rPr>
              <w:t>414億1,906萬元，達成率94.59</w:t>
            </w:r>
            <w:r w:rsidR="00EA7EA6" w:rsidRPr="001D6AB1">
              <w:rPr>
                <w:rFonts w:ascii="標楷體" w:eastAsia="標楷體" w:hAnsi="標楷體" w:hint="eastAsia"/>
                <w:color w:val="000000" w:themeColor="text1"/>
                <w:kern w:val="2"/>
                <w:szCs w:val="24"/>
              </w:rPr>
              <w:t>%</w:t>
            </w:r>
            <w:r w:rsidRPr="001D6AB1">
              <w:rPr>
                <w:rFonts w:ascii="標楷體" w:eastAsia="標楷體" w:hAnsi="標楷體"/>
                <w:color w:val="000000" w:themeColor="text1"/>
                <w:kern w:val="2"/>
                <w:szCs w:val="24"/>
              </w:rPr>
              <w:t>。</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2.督導本市稅捐處積極加強清理欠稅，</w:t>
            </w:r>
            <w:r w:rsidR="00EA7EA6" w:rsidRPr="001D6AB1">
              <w:rPr>
                <w:rFonts w:ascii="標楷體" w:eastAsia="標楷體" w:hAnsi="標楷體"/>
                <w:color w:val="000000" w:themeColor="text1"/>
                <w:kern w:val="2"/>
                <w:szCs w:val="24"/>
              </w:rPr>
              <w:t>截至112年</w:t>
            </w:r>
            <w:r w:rsidR="00EA7EA6" w:rsidRPr="001D6AB1">
              <w:rPr>
                <w:rFonts w:ascii="標楷體" w:eastAsia="標楷體" w:hAnsi="標楷體" w:hint="eastAsia"/>
                <w:color w:val="000000" w:themeColor="text1"/>
                <w:kern w:val="2"/>
                <w:szCs w:val="24"/>
              </w:rPr>
              <w:t>12</w:t>
            </w:r>
            <w:r w:rsidR="00EA7EA6" w:rsidRPr="001D6AB1">
              <w:rPr>
                <w:rFonts w:ascii="標楷體" w:eastAsia="標楷體" w:hAnsi="標楷體"/>
                <w:color w:val="000000" w:themeColor="text1"/>
                <w:kern w:val="2"/>
                <w:szCs w:val="24"/>
              </w:rPr>
              <w:t>月底止清理欠稅累計徵起</w:t>
            </w:r>
            <w:r w:rsidR="00EA7EA6" w:rsidRPr="001D6AB1">
              <w:rPr>
                <w:rFonts w:ascii="標楷體" w:eastAsia="標楷體" w:hAnsi="標楷體" w:hint="eastAsia"/>
                <w:color w:val="000000" w:themeColor="text1"/>
                <w:kern w:val="2"/>
                <w:szCs w:val="24"/>
              </w:rPr>
              <w:t>9.67</w:t>
            </w:r>
            <w:r w:rsidR="00EA7EA6" w:rsidRPr="001D6AB1">
              <w:rPr>
                <w:rFonts w:ascii="標楷體" w:eastAsia="標楷體" w:hAnsi="標楷體"/>
                <w:color w:val="000000" w:themeColor="text1"/>
                <w:kern w:val="2"/>
                <w:szCs w:val="24"/>
              </w:rPr>
              <w:t>億元</w:t>
            </w:r>
            <w:r w:rsidRPr="001D6AB1">
              <w:rPr>
                <w:rFonts w:ascii="標楷體" w:eastAsia="標楷體" w:hAnsi="標楷體"/>
                <w:color w:val="000000" w:themeColor="text1"/>
                <w:kern w:val="2"/>
                <w:szCs w:val="24"/>
              </w:rPr>
              <w:t>。</w:t>
            </w:r>
          </w:p>
          <w:p w:rsidR="00D545F5" w:rsidRPr="001D6AB1" w:rsidRDefault="00D545F5"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kern w:val="2"/>
                <w:szCs w:val="24"/>
              </w:rPr>
            </w:pPr>
          </w:p>
          <w:p w:rsidR="005B786F" w:rsidRPr="001D6AB1" w:rsidRDefault="005B786F"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kern w:val="2"/>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1.依據本府112年度</w:t>
            </w:r>
            <w:r w:rsidR="00EA7EA6" w:rsidRPr="001D6AB1">
              <w:rPr>
                <w:rFonts w:ascii="標楷體" w:eastAsia="標楷體" w:hAnsi="標楷體"/>
                <w:color w:val="000000" w:themeColor="text1"/>
                <w:kern w:val="2"/>
                <w:szCs w:val="24"/>
              </w:rPr>
              <w:t>菸酒抽檢</w:t>
            </w:r>
            <w:r w:rsidR="00EA7EA6" w:rsidRPr="001D6AB1">
              <w:rPr>
                <w:rFonts w:ascii="標楷體" w:eastAsia="標楷體" w:hAnsi="標楷體" w:hint="eastAsia"/>
                <w:color w:val="000000" w:themeColor="text1"/>
                <w:kern w:val="2"/>
                <w:szCs w:val="24"/>
              </w:rPr>
              <w:t>實施</w:t>
            </w:r>
            <w:r w:rsidR="00EA7EA6" w:rsidRPr="001D6AB1">
              <w:rPr>
                <w:rFonts w:ascii="標楷體" w:eastAsia="標楷體" w:hAnsi="標楷體"/>
                <w:color w:val="000000" w:themeColor="text1"/>
                <w:kern w:val="2"/>
                <w:szCs w:val="24"/>
              </w:rPr>
              <w:t>計畫</w:t>
            </w:r>
            <w:r w:rsidRPr="001D6AB1">
              <w:rPr>
                <w:rFonts w:ascii="標楷體" w:eastAsia="標楷體" w:hAnsi="標楷體"/>
                <w:color w:val="000000" w:themeColor="text1"/>
                <w:kern w:val="2"/>
                <w:szCs w:val="24"/>
              </w:rPr>
              <w:t>，應抽檢菸酒製造業、進口業、批發買賣業、販賣或使用未變性酒精業者共758家，實際抽檢業者903家，執行率119.12%。</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2.112年查獲涉嫌違反菸酒管理法案件共387件，查獲違規菸品部分累計428萬6,66</w:t>
            </w:r>
            <w:r w:rsidR="00EA7EA6" w:rsidRPr="001D6AB1">
              <w:rPr>
                <w:rFonts w:ascii="標楷體" w:eastAsia="標楷體" w:hAnsi="標楷體" w:hint="eastAsia"/>
                <w:color w:val="000000" w:themeColor="text1"/>
                <w:kern w:val="2"/>
                <w:szCs w:val="24"/>
              </w:rPr>
              <w:t>3</w:t>
            </w:r>
            <w:r w:rsidRPr="001D6AB1">
              <w:rPr>
                <w:rFonts w:ascii="標楷體" w:eastAsia="標楷體" w:hAnsi="標楷體"/>
                <w:color w:val="000000" w:themeColor="text1"/>
                <w:kern w:val="2"/>
                <w:szCs w:val="24"/>
              </w:rPr>
              <w:t>包，市值為2億8,987萬424元；查獲違規酒品累計為22萬5,713升，市值為1,828萬4,900元。</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3.112年菸酒專案查緝績效如下：</w:t>
            </w:r>
          </w:p>
          <w:p w:rsidR="005B786F" w:rsidRPr="001D6AB1" w:rsidRDefault="007E5331"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w:t>
            </w:r>
            <w:r w:rsidR="000C6B7B" w:rsidRPr="001D6AB1">
              <w:rPr>
                <w:rFonts w:ascii="標楷體" w:eastAsia="標楷體" w:hAnsi="標楷體"/>
                <w:color w:val="000000" w:themeColor="text1"/>
                <w:kern w:val="2"/>
                <w:szCs w:val="24"/>
              </w:rPr>
              <w:t>配合財政部執行112年春節前全國同步查緝私劣菸酒專案，經評定查獲私劣酒品績效為全國第1名。</w:t>
            </w:r>
          </w:p>
          <w:p w:rsidR="005B786F" w:rsidRPr="001D6AB1" w:rsidRDefault="007E5331"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w:t>
            </w:r>
            <w:r w:rsidR="000C6B7B" w:rsidRPr="001D6AB1">
              <w:rPr>
                <w:rFonts w:ascii="標楷體" w:eastAsia="標楷體" w:hAnsi="標楷體"/>
                <w:color w:val="000000" w:themeColor="text1"/>
                <w:kern w:val="2"/>
                <w:szCs w:val="24"/>
              </w:rPr>
              <w:t>2</w:t>
            </w:r>
            <w:r w:rsidRPr="001D6AB1">
              <w:rPr>
                <w:rFonts w:ascii="標楷體" w:eastAsia="標楷體" w:hAnsi="標楷體"/>
                <w:color w:val="000000" w:themeColor="text1"/>
                <w:kern w:val="2"/>
                <w:szCs w:val="24"/>
              </w:rPr>
              <w:t>)</w:t>
            </w:r>
            <w:r w:rsidR="000C6B7B" w:rsidRPr="001D6AB1">
              <w:rPr>
                <w:rFonts w:ascii="標楷體" w:eastAsia="標楷體" w:hAnsi="標楷體"/>
                <w:color w:val="000000" w:themeColor="text1"/>
                <w:kern w:val="2"/>
                <w:szCs w:val="24"/>
              </w:rPr>
              <w:t>配合財政部執行112年第1次不定期全國同步查緝私劣菸酒專案，經評定查獲私劣菸品績效為全國第3名；查獲私劣酒品績效為全國第2名。</w:t>
            </w:r>
          </w:p>
          <w:p w:rsidR="005B786F" w:rsidRPr="001D6AB1" w:rsidRDefault="007E5331"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w:t>
            </w:r>
            <w:r w:rsidR="000C6B7B" w:rsidRPr="001D6AB1">
              <w:rPr>
                <w:rFonts w:ascii="標楷體" w:eastAsia="標楷體" w:hAnsi="標楷體"/>
                <w:color w:val="000000" w:themeColor="text1"/>
                <w:kern w:val="2"/>
                <w:szCs w:val="24"/>
              </w:rPr>
              <w:t>3</w:t>
            </w:r>
            <w:r w:rsidRPr="001D6AB1">
              <w:rPr>
                <w:rFonts w:ascii="標楷體" w:eastAsia="標楷體" w:hAnsi="標楷體"/>
                <w:color w:val="000000" w:themeColor="text1"/>
                <w:kern w:val="2"/>
                <w:szCs w:val="24"/>
              </w:rPr>
              <w:t>)</w:t>
            </w:r>
            <w:r w:rsidR="000C6B7B" w:rsidRPr="001D6AB1">
              <w:rPr>
                <w:rFonts w:ascii="標楷體" w:eastAsia="標楷體" w:hAnsi="標楷體"/>
                <w:color w:val="000000" w:themeColor="text1"/>
                <w:kern w:val="2"/>
                <w:szCs w:val="24"/>
              </w:rPr>
              <w:t>配合財政部執行112年端午節前全國同步查緝私劣菸酒專案，經評定查獲私劣菸品及私劣酒品績效均為全國第1名。</w:t>
            </w:r>
          </w:p>
          <w:p w:rsidR="005B786F" w:rsidRPr="001D6AB1" w:rsidRDefault="007E5331"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w:t>
            </w:r>
            <w:r w:rsidR="000C6B7B" w:rsidRPr="001D6AB1">
              <w:rPr>
                <w:rFonts w:ascii="標楷體" w:eastAsia="標楷體" w:hAnsi="標楷體"/>
                <w:color w:val="000000" w:themeColor="text1"/>
                <w:kern w:val="2"/>
                <w:szCs w:val="24"/>
              </w:rPr>
              <w:t>4</w:t>
            </w:r>
            <w:r w:rsidRPr="001D6AB1">
              <w:rPr>
                <w:rFonts w:ascii="標楷體" w:eastAsia="標楷體" w:hAnsi="標楷體"/>
                <w:color w:val="000000" w:themeColor="text1"/>
                <w:kern w:val="2"/>
                <w:szCs w:val="24"/>
              </w:rPr>
              <w:t>)</w:t>
            </w:r>
            <w:r w:rsidR="000C6B7B" w:rsidRPr="001D6AB1">
              <w:rPr>
                <w:rFonts w:ascii="標楷體" w:eastAsia="標楷體" w:hAnsi="標楷體"/>
                <w:color w:val="000000" w:themeColor="text1"/>
                <w:kern w:val="2"/>
                <w:szCs w:val="24"/>
              </w:rPr>
              <w:t>配合財政部執行112年中秋節前全國同步查緝私劣菸酒專案，經評定查獲私劣菸品績效為全國第3名；查獲私劣酒品績效為全國第1名。</w:t>
            </w:r>
          </w:p>
          <w:p w:rsidR="005B786F" w:rsidRPr="001D6AB1" w:rsidRDefault="007E5331"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w:t>
            </w:r>
            <w:r w:rsidR="000C6B7B" w:rsidRPr="001D6AB1">
              <w:rPr>
                <w:rFonts w:ascii="標楷體" w:eastAsia="標楷體" w:hAnsi="標楷體"/>
                <w:color w:val="000000" w:themeColor="text1"/>
                <w:kern w:val="2"/>
                <w:szCs w:val="24"/>
              </w:rPr>
              <w:t>5</w:t>
            </w:r>
            <w:r w:rsidRPr="001D6AB1">
              <w:rPr>
                <w:rFonts w:ascii="標楷體" w:eastAsia="標楷體" w:hAnsi="標楷體"/>
                <w:color w:val="000000" w:themeColor="text1"/>
                <w:kern w:val="2"/>
                <w:szCs w:val="24"/>
              </w:rPr>
              <w:t>)</w:t>
            </w:r>
            <w:r w:rsidR="000C6B7B" w:rsidRPr="001D6AB1">
              <w:rPr>
                <w:rFonts w:ascii="標楷體" w:eastAsia="標楷體" w:hAnsi="標楷體"/>
                <w:color w:val="000000" w:themeColor="text1"/>
                <w:kern w:val="2"/>
                <w:szCs w:val="24"/>
              </w:rPr>
              <w:t>配合財政部執行112年第2次不定期全國同步查緝私劣菸酒專案，經評定查獲私劣菸品及私劣酒品績效均為全國第2名。</w:t>
            </w:r>
          </w:p>
          <w:p w:rsidR="005B786F" w:rsidRPr="001D6AB1" w:rsidRDefault="005B786F" w:rsidP="0095539C">
            <w:pPr>
              <w:tabs>
                <w:tab w:val="left" w:pos="744"/>
              </w:tabs>
              <w:suppressAutoHyphens w:val="0"/>
              <w:kinsoku w:val="0"/>
              <w:autoSpaceDN/>
              <w:spacing w:line="360" w:lineRule="exact"/>
              <w:ind w:left="1077" w:rightChars="50" w:right="120" w:hanging="737"/>
              <w:contextualSpacing/>
              <w:jc w:val="both"/>
              <w:textAlignment w:val="auto"/>
              <w:rPr>
                <w:rFonts w:ascii="標楷體" w:eastAsia="標楷體" w:hAnsi="標楷體"/>
                <w:kern w:val="2"/>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1.動態方面</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執行民眾法令宣導22場次、業者法令宣導331場次、網路有獎徵答4場次，合計宣導357場次，人數約5萬3,556人，並規劃朝多元化方式進行，除自行舉辦「拒私菸酒‧歡樂Fun題嘉年華」大型宣導活動外，亦結合民間團體或企業活動，在宣導過程中加入公益、藝術及流行等元素，讓菸酒法令更貼近民眾生活，藉以建立不同族群對菸酒法令觀念和消費安</w:t>
            </w:r>
            <w:r w:rsidRPr="001D6AB1">
              <w:rPr>
                <w:rFonts w:ascii="標楷體" w:eastAsia="標楷體" w:hAnsi="標楷體"/>
                <w:color w:val="000000" w:themeColor="text1"/>
                <w:kern w:val="2"/>
                <w:szCs w:val="24"/>
              </w:rPr>
              <w:lastRenderedPageBreak/>
              <w:t>全的認知，進而提昇宣導效果。</w:t>
            </w:r>
          </w:p>
          <w:p w:rsidR="005B786F" w:rsidRPr="001D6AB1" w:rsidRDefault="007E5331"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w:t>
            </w:r>
            <w:r w:rsidR="000C6B7B" w:rsidRPr="001D6AB1">
              <w:rPr>
                <w:rFonts w:ascii="標楷體" w:eastAsia="標楷體" w:hAnsi="標楷體"/>
                <w:color w:val="000000" w:themeColor="text1"/>
                <w:kern w:val="2"/>
                <w:szCs w:val="24"/>
              </w:rPr>
              <w:t>積極配合中央及市府各機關舉辦之各項大型市政宣導活動，如結合教育局「溫馨家庭‧攜手同行」、「孩翻高雄」；高雄流行音樂中心「大港開唱」；運動發展局「中華職棒澄清湖球場賽事」、「愛河端午龍舟嘉年華」；文化局「2023戲獅甲」；原民會「原住民族聯合豐年節」、客委會「客家封神榜~敬義民祈安康」；高雄國稅局「統一發票推行暨2023齊步走‧健康稅幸福」、高雄國稅局三民分局「拒私菸護稅捐親子同樂嘉年華」、「精彩稅月 由我舞動」；高雄國稅局左營分局「雲端發票雄GO讚」；高雄市稅捐稽徵處「頂尖對決-租稅高手爭霸戰」等活動，以發放文宣、主持人口語宣導、播放影片、懸掛布條及現場設攤等方式宣導菸酒法令。</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2.靜態方面</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(1)透過各大報章雜誌、廣播電台及有線電視執行廣告，呼籲民眾勿購買來路不明菸酒品、勿利用網路販售菸酒品及免稅菸酒品不得轉售等觀念，藉此提昇民眾對菸酒法令常識的認知。</w:t>
            </w:r>
          </w:p>
          <w:p w:rsidR="005B786F" w:rsidRPr="001D6AB1" w:rsidRDefault="007E5331"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bookmarkStart w:id="3" w:name="_Hlk155083421"/>
            <w:r w:rsidRPr="001D6AB1">
              <w:rPr>
                <w:rFonts w:ascii="標楷體" w:eastAsia="標楷體" w:hAnsi="標楷體"/>
                <w:color w:val="000000" w:themeColor="text1"/>
                <w:kern w:val="2"/>
                <w:szCs w:val="24"/>
              </w:rPr>
              <w:t>(2)</w:t>
            </w:r>
            <w:r w:rsidR="000C6B7B" w:rsidRPr="001D6AB1">
              <w:rPr>
                <w:rFonts w:ascii="標楷體" w:eastAsia="標楷體" w:hAnsi="標楷體"/>
                <w:color w:val="000000" w:themeColor="text1"/>
                <w:kern w:val="2"/>
                <w:szCs w:val="24"/>
              </w:rPr>
              <w:t>將宣導影片、載有宣導標語之橫幅廣告投放至網路媒體，並連結</w:t>
            </w:r>
            <w:r w:rsidR="00B55320" w:rsidRPr="001D6AB1">
              <w:rPr>
                <w:rFonts w:ascii="標楷體" w:eastAsia="標楷體" w:hAnsi="標楷體" w:hint="eastAsia"/>
                <w:color w:val="000000" w:themeColor="text1"/>
                <w:kern w:val="2"/>
                <w:szCs w:val="24"/>
              </w:rPr>
              <w:t>財政</w:t>
            </w:r>
            <w:r w:rsidR="000C6B7B" w:rsidRPr="001D6AB1">
              <w:rPr>
                <w:rFonts w:ascii="標楷體" w:eastAsia="標楷體" w:hAnsi="標楷體"/>
                <w:color w:val="000000" w:themeColor="text1"/>
                <w:kern w:val="2"/>
                <w:szCs w:val="24"/>
              </w:rPr>
              <w:t>局菸酒教育宣導網、臉書粉絲專頁等網站供各界點閱，以便增加菸酒法令之曝光數，擴大宣導效益</w:t>
            </w:r>
            <w:bookmarkEnd w:id="3"/>
            <w:r w:rsidR="000C6B7B" w:rsidRPr="001D6AB1">
              <w:rPr>
                <w:rFonts w:ascii="標楷體" w:eastAsia="標楷體" w:hAnsi="標楷體"/>
                <w:color w:val="000000" w:themeColor="text1"/>
                <w:kern w:val="2"/>
                <w:szCs w:val="24"/>
              </w:rPr>
              <w:t>。</w:t>
            </w:r>
          </w:p>
          <w:p w:rsidR="005B786F" w:rsidRPr="001D6AB1" w:rsidRDefault="007E5331"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bookmarkStart w:id="4" w:name="_Hlk155083433"/>
            <w:r w:rsidRPr="001D6AB1">
              <w:rPr>
                <w:rFonts w:ascii="標楷體" w:eastAsia="標楷體" w:hAnsi="標楷體"/>
                <w:color w:val="000000" w:themeColor="text1"/>
                <w:kern w:val="2"/>
                <w:szCs w:val="24"/>
              </w:rPr>
              <w:t>(3)</w:t>
            </w:r>
            <w:r w:rsidR="000C6B7B" w:rsidRPr="001D6AB1">
              <w:rPr>
                <w:rFonts w:ascii="標楷體" w:eastAsia="標楷體" w:hAnsi="標楷體"/>
                <w:color w:val="000000" w:themeColor="text1"/>
                <w:kern w:val="2"/>
                <w:szCs w:val="24"/>
              </w:rPr>
              <w:t>結合本府交通局利用本市公車候車亭製作8座廣告看板，強化民眾對菸酒法令認知並配合財政部宣導最新菸酒法令</w:t>
            </w:r>
            <w:bookmarkEnd w:id="4"/>
            <w:r w:rsidR="000C6B7B" w:rsidRPr="001D6AB1">
              <w:rPr>
                <w:rFonts w:ascii="標楷體" w:eastAsia="標楷體" w:hAnsi="標楷體"/>
                <w:color w:val="000000" w:themeColor="text1"/>
                <w:kern w:val="2"/>
                <w:szCs w:val="24"/>
              </w:rPr>
              <w:t>。</w:t>
            </w:r>
          </w:p>
          <w:p w:rsidR="005B786F" w:rsidRPr="001D6AB1" w:rsidRDefault="007E5331"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bookmarkStart w:id="5" w:name="_Hlk155083445"/>
            <w:r w:rsidRPr="001D6AB1">
              <w:rPr>
                <w:rFonts w:ascii="標楷體" w:eastAsia="標楷體" w:hAnsi="標楷體"/>
                <w:color w:val="000000" w:themeColor="text1"/>
                <w:kern w:val="2"/>
                <w:szCs w:val="24"/>
              </w:rPr>
              <w:t>(4)</w:t>
            </w:r>
            <w:r w:rsidR="000C6B7B" w:rsidRPr="001D6AB1">
              <w:rPr>
                <w:rFonts w:ascii="標楷體" w:eastAsia="標楷體" w:hAnsi="標楷體"/>
                <w:color w:val="000000" w:themeColor="text1"/>
                <w:kern w:val="2"/>
                <w:szCs w:val="24"/>
              </w:rPr>
              <w:t>透過高雄捷運站戶外看板刊登廣告，向民眾宣導菸酒法令及正確菸酒消費知識，以觸及更多族群</w:t>
            </w:r>
            <w:bookmarkEnd w:id="5"/>
            <w:r w:rsidR="000C6B7B" w:rsidRPr="001D6AB1">
              <w:rPr>
                <w:rFonts w:ascii="標楷體" w:eastAsia="標楷體" w:hAnsi="標楷體"/>
                <w:color w:val="000000" w:themeColor="text1"/>
                <w:kern w:val="2"/>
                <w:szCs w:val="24"/>
              </w:rPr>
              <w:t>。</w:t>
            </w:r>
          </w:p>
          <w:p w:rsidR="005B786F" w:rsidRPr="001D6AB1" w:rsidRDefault="007E5331"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bookmarkStart w:id="6" w:name="_Hlk155083455"/>
            <w:r w:rsidRPr="001D6AB1">
              <w:rPr>
                <w:rFonts w:ascii="標楷體" w:eastAsia="標楷體" w:hAnsi="標楷體"/>
                <w:color w:val="000000" w:themeColor="text1"/>
                <w:kern w:val="2"/>
                <w:szCs w:val="24"/>
              </w:rPr>
              <w:t>(5)</w:t>
            </w:r>
            <w:r w:rsidR="000C6B7B" w:rsidRPr="001D6AB1">
              <w:rPr>
                <w:rFonts w:ascii="標楷體" w:eastAsia="標楷體" w:hAnsi="標楷體"/>
                <w:color w:val="000000" w:themeColor="text1"/>
                <w:kern w:val="2"/>
                <w:szCs w:val="24"/>
              </w:rPr>
              <w:t>委外印製「找代駕 保平安」等3則增訂酒類警語便利貼1,000份，發放給販酒業者於規劃酒容器標示及廣告促銷時多加利用，期降低酒駕情形</w:t>
            </w:r>
            <w:bookmarkEnd w:id="6"/>
            <w:r w:rsidR="000C6B7B" w:rsidRPr="001D6AB1">
              <w:rPr>
                <w:rFonts w:ascii="標楷體" w:eastAsia="標楷體" w:hAnsi="標楷體"/>
                <w:color w:val="000000" w:themeColor="text1"/>
                <w:kern w:val="2"/>
                <w:szCs w:val="24"/>
              </w:rPr>
              <w:t>。</w:t>
            </w:r>
          </w:p>
          <w:p w:rsidR="005B786F" w:rsidRPr="001D6AB1" w:rsidRDefault="007E5331"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bookmarkStart w:id="7" w:name="_Hlk155083466"/>
            <w:r w:rsidRPr="001D6AB1">
              <w:rPr>
                <w:rFonts w:ascii="標楷體" w:eastAsia="標楷體" w:hAnsi="標楷體"/>
                <w:color w:val="000000" w:themeColor="text1"/>
                <w:kern w:val="2"/>
                <w:szCs w:val="24"/>
              </w:rPr>
              <w:t>(6)</w:t>
            </w:r>
            <w:r w:rsidR="000C6B7B" w:rsidRPr="001D6AB1">
              <w:rPr>
                <w:rFonts w:ascii="標楷體" w:eastAsia="標楷體" w:hAnsi="標楷體"/>
                <w:color w:val="000000" w:themeColor="text1"/>
                <w:kern w:val="2"/>
                <w:szCs w:val="24"/>
              </w:rPr>
              <w:t>委外製作菸酒法令宣導紅布條約300條刊掛於環保局所屬環保清潔車輛，向往來民眾宣導菸酒法令。</w:t>
            </w:r>
            <w:bookmarkEnd w:id="7"/>
          </w:p>
          <w:p w:rsidR="00E54EDC" w:rsidRPr="001D6AB1" w:rsidRDefault="00E54EDC" w:rsidP="0095539C">
            <w:pPr>
              <w:suppressAutoHyphens w:val="0"/>
              <w:kinsoku w:val="0"/>
              <w:autoSpaceDN/>
              <w:spacing w:line="360" w:lineRule="exact"/>
              <w:ind w:left="692" w:rightChars="50" w:right="120" w:hanging="352"/>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112年度辦理4場銷毀已裁處沒入或判決沒收確定私劣菸酒，總計銷毀菸品314萬5,380包、酒品14萬1,539公升。</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5B786F" w:rsidP="0095539C">
            <w:pPr>
              <w:overflowPunct w:val="0"/>
              <w:autoSpaceDE w:val="0"/>
              <w:spacing w:line="360" w:lineRule="exact"/>
              <w:ind w:right="120"/>
              <w:contextualSpacing/>
              <w:jc w:val="both"/>
              <w:rPr>
                <w:rFonts w:ascii="標楷體" w:eastAsia="標楷體" w:hAnsi="標楷體"/>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高雄市有財產管理資訊系統」自95年上線迄今，各機關學校已全面使用並執行財產管理相關作業，為符合資通安全相關要求，需搬遷至資訊中心虛擬主機。依市府使用之機關學校數目，原資料庫軟體授權(Oracle)版本，購置經費約高達2,300萬元，因市府經費有</w:t>
            </w:r>
            <w:r w:rsidRPr="001D6AB1">
              <w:lastRenderedPageBreak/>
              <w:t>限，在不影響系統效能要求之前提下，採購微軟公司(SQL Server)軟體授權，費用為140餘萬，節省經費達2,160萬元，並於112年完成資料庫轉檔及改寫應用程式語言作業。</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為加強公有財產之保管使用、收益與處分，健全公產管理制度，依年度財產管理情形檢查計畫辦理財產檢查，112年度完成30所機關學校實地訪查作業，並列管追蹤受檢機關缺失改善結果；為瞭解府外撥用財產有無依撥用計畫使用，完成2個機關實地訪查作業</w:t>
            </w:r>
            <w:r w:rsidR="00436B79">
              <w:rPr>
                <w:rFonts w:hint="eastAsia"/>
              </w:rPr>
              <w:t>。</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確實執行「高雄市市有公用閒置及低度利用房地清理利用計畫」，定期召開專案小組會議檢討及列管追蹤各機關辦理情形，加速活化本市不動產，112年度市有土地收回與活化利用12筆，1,538平方公尺，土地公告現值共5,582萬6,321元；閒置建物活化5筆，面積合計3,110.64平方公尺。</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督促各機關積極處理被占用不動產案件，並定期更新全市被占用不動產資料，112年度收回被占用土地達39筆，面積合計18,852.74平方公尺。</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BB2915" w:rsidRPr="001D6AB1" w:rsidRDefault="00BB2915"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為加強各機關學校財產管理人員財產管理知能與法令，112年度完成業務及系統操作講習，總計受訓人數約560人，另為使財產管理人員瞭解廢品變賣相關作業規範及程序，增辦「臺北惜物網站｣拍賣作業教育訓練課程，參訓人數345人。</w:t>
            </w:r>
          </w:p>
          <w:p w:rsidR="005B786F" w:rsidRPr="001D6AB1" w:rsidRDefault="000C6B7B"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r w:rsidRPr="001D6AB1">
              <w:rPr>
                <w:rFonts w:ascii="標楷體" w:eastAsia="標楷體" w:hAnsi="標楷體"/>
                <w:kern w:val="2"/>
                <w:szCs w:val="24"/>
              </w:rPr>
              <w:t xml:space="preserve"> </w:t>
            </w: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宣導各機關報廢物品利用「臺北惜物網」交易平台辦理標售，以促進資源再利用，增裕市庫收入，112年度拍賣總成交金額約953萬6仟餘元。</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BB2915" w:rsidRPr="001D6AB1" w:rsidRDefault="00BB2915"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kern w:val="2"/>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1.已出租市有非公用土地或畸零地予以讓售。</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2.112年度總計出售2億</w:t>
            </w:r>
            <w:r w:rsidR="00EA7EA6" w:rsidRPr="001D6AB1">
              <w:rPr>
                <w:rFonts w:ascii="標楷體" w:eastAsia="標楷體" w:hAnsi="標楷體" w:hint="eastAsia"/>
                <w:color w:val="000000" w:themeColor="text1"/>
                <w:kern w:val="2"/>
                <w:szCs w:val="24"/>
              </w:rPr>
              <w:t>2</w:t>
            </w:r>
            <w:r w:rsidR="00EA7EA6" w:rsidRPr="001D6AB1">
              <w:rPr>
                <w:rFonts w:ascii="標楷體" w:eastAsia="標楷體" w:hAnsi="標楷體"/>
                <w:color w:val="000000" w:themeColor="text1"/>
                <w:kern w:val="2"/>
                <w:szCs w:val="24"/>
              </w:rPr>
              <w:t>,271</w:t>
            </w:r>
            <w:r w:rsidRPr="001D6AB1">
              <w:rPr>
                <w:rFonts w:ascii="標楷體" w:eastAsia="標楷體" w:hAnsi="標楷體"/>
                <w:color w:val="000000" w:themeColor="text1"/>
                <w:kern w:val="2"/>
                <w:szCs w:val="24"/>
              </w:rPr>
              <w:t>萬元</w:t>
            </w:r>
            <w:r w:rsidR="00903B5A">
              <w:rPr>
                <w:rFonts w:ascii="標楷體" w:eastAsia="標楷體" w:hAnsi="標楷體" w:hint="eastAsia"/>
                <w:color w:val="000000" w:themeColor="text1"/>
                <w:kern w:val="2"/>
                <w:szCs w:val="24"/>
              </w:rPr>
              <w:t>。</w:t>
            </w:r>
          </w:p>
          <w:p w:rsidR="005B786F" w:rsidRPr="001D6AB1" w:rsidRDefault="005B786F"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kern w:val="2"/>
                <w:szCs w:val="24"/>
              </w:rPr>
            </w:pPr>
          </w:p>
          <w:p w:rsidR="00EA7EA6" w:rsidRPr="001D6AB1" w:rsidRDefault="00EA7EA6"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112年度房租收入</w:t>
            </w:r>
            <w:r w:rsidRPr="001D6AB1">
              <w:rPr>
                <w:rFonts w:hint="eastAsia"/>
              </w:rPr>
              <w:t>5</w:t>
            </w:r>
            <w:r w:rsidRPr="001D6AB1">
              <w:t>萬</w:t>
            </w:r>
            <w:r w:rsidRPr="001D6AB1">
              <w:rPr>
                <w:rFonts w:hint="eastAsia"/>
              </w:rPr>
              <w:t>8</w:t>
            </w:r>
            <w:r w:rsidRPr="001D6AB1">
              <w:t>,035元。</w:t>
            </w:r>
          </w:p>
          <w:p w:rsidR="00EA7EA6" w:rsidRPr="001D6AB1" w:rsidRDefault="00EA7EA6"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112年度土地租金收入</w:t>
            </w:r>
            <w:r w:rsidRPr="001D6AB1">
              <w:rPr>
                <w:rFonts w:hint="eastAsia"/>
              </w:rPr>
              <w:t>8</w:t>
            </w:r>
            <w:r w:rsidRPr="001D6AB1">
              <w:t>,016萬元。</w:t>
            </w:r>
          </w:p>
          <w:p w:rsidR="00EA7EA6" w:rsidRPr="001D6AB1" w:rsidRDefault="00EA7EA6"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112年度違約金收入</w:t>
            </w:r>
            <w:r w:rsidRPr="001D6AB1">
              <w:rPr>
                <w:rFonts w:hint="eastAsia"/>
              </w:rPr>
              <w:t>1</w:t>
            </w:r>
            <w:r w:rsidRPr="001D6AB1">
              <w:t>0萬</w:t>
            </w:r>
            <w:r w:rsidRPr="001D6AB1">
              <w:rPr>
                <w:rFonts w:hint="eastAsia"/>
              </w:rPr>
              <w:t>3</w:t>
            </w:r>
            <w:r w:rsidRPr="001D6AB1">
              <w:t>,322元。</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BD73FA" w:rsidRPr="001D6AB1" w:rsidRDefault="00BD73FA"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lastRenderedPageBreak/>
              <w:t>追收被占用市有非公用土地使用補償金，112年使用補償金收入1,593</w:t>
            </w:r>
            <w:r w:rsidR="00EE06B2" w:rsidRPr="001D6AB1">
              <w:t>萬元。</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5B786F" w:rsidP="0095539C">
            <w:pPr>
              <w:overflowPunct w:val="0"/>
              <w:autoSpaceDE w:val="0"/>
              <w:spacing w:line="360" w:lineRule="exact"/>
              <w:ind w:left="120" w:right="120" w:firstLine="13"/>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120" w:right="120" w:firstLine="13"/>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415" w:right="120" w:hanging="295"/>
              <w:contextualSpacing/>
              <w:jc w:val="both"/>
              <w:rPr>
                <w:rFonts w:ascii="標楷體" w:eastAsia="標楷體" w:hAnsi="標楷體"/>
                <w:szCs w:val="24"/>
              </w:rPr>
            </w:pPr>
          </w:p>
          <w:p w:rsidR="00BD73FA" w:rsidRPr="001D6AB1" w:rsidRDefault="00BD73FA" w:rsidP="0095539C">
            <w:pPr>
              <w:overflowPunct w:val="0"/>
              <w:autoSpaceDE w:val="0"/>
              <w:spacing w:line="360" w:lineRule="exact"/>
              <w:ind w:left="415" w:right="120" w:hanging="29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415" w:right="120" w:hanging="295"/>
              <w:contextualSpacing/>
              <w:jc w:val="both"/>
              <w:rPr>
                <w:rFonts w:ascii="標楷體" w:eastAsia="標楷體" w:hAnsi="標楷體"/>
                <w:szCs w:val="24"/>
              </w:rPr>
            </w:pPr>
          </w:p>
          <w:p w:rsidR="005B786F" w:rsidRPr="001D6AB1" w:rsidRDefault="005B786F" w:rsidP="0095539C">
            <w:pPr>
              <w:overflowPunct w:val="0"/>
              <w:autoSpaceDE w:val="0"/>
              <w:spacing w:line="360" w:lineRule="exact"/>
              <w:ind w:left="415" w:right="120" w:hanging="295"/>
              <w:contextualSpacing/>
              <w:jc w:val="both"/>
              <w:rPr>
                <w:rFonts w:ascii="標楷體" w:eastAsia="標楷體" w:hAnsi="標楷體"/>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112年已簽約之促參及開發案件共5案，民間投資金額</w:t>
            </w:r>
            <w:r w:rsidR="00EA7EA6" w:rsidRPr="001D6AB1">
              <w:t>203.186</w:t>
            </w:r>
            <w:r w:rsidRPr="001D6AB1">
              <w:t>億元；另議約中之促參及開發案件共4案，民間投資金額163.54億元。</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112年已公告尚未開標之促參及開發案件共5案，民間投資金額預估398.03億元。</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規劃辦理中招商之促參及開發案件共</w:t>
            </w:r>
            <w:r w:rsidR="00EA7EA6" w:rsidRPr="001D6AB1">
              <w:rPr>
                <w:rFonts w:hint="eastAsia"/>
              </w:rPr>
              <w:t>17</w:t>
            </w:r>
            <w:r w:rsidRPr="001D6AB1">
              <w:t>案，民間投資金額預估7</w:t>
            </w:r>
            <w:r w:rsidR="00EA7EA6" w:rsidRPr="001D6AB1">
              <w:rPr>
                <w:rFonts w:hint="eastAsia"/>
              </w:rPr>
              <w:t>40</w:t>
            </w:r>
            <w:r w:rsidRPr="001D6AB1">
              <w:t>.26億元。</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112年獲財政部核准促參前置作業費補助計4案，同意補助金額684萬2,500元，後續本府財政局仍將持續協助各機關積極辦理促參案件，爭取促參前置作業費補助。</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5B786F" w:rsidP="0095539C">
            <w:pPr>
              <w:overflowPunct w:val="0"/>
              <w:autoSpaceDE w:val="0"/>
              <w:spacing w:line="360" w:lineRule="exact"/>
              <w:ind w:left="415" w:right="120" w:hanging="295"/>
              <w:contextualSpacing/>
              <w:jc w:val="both"/>
              <w:rPr>
                <w:rFonts w:ascii="標楷體" w:eastAsia="標楷體" w:hAnsi="標楷體"/>
                <w:szCs w:val="24"/>
              </w:rPr>
            </w:pPr>
          </w:p>
          <w:p w:rsidR="005B786F" w:rsidRPr="001D6AB1" w:rsidRDefault="005B786F" w:rsidP="0095539C">
            <w:pPr>
              <w:spacing w:line="360" w:lineRule="exact"/>
              <w:contextualSpacing/>
              <w:jc w:val="both"/>
              <w:rPr>
                <w:rFonts w:ascii="標楷體" w:eastAsia="標楷體" w:hAnsi="標楷體"/>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1.嚴格控制預算，促使庫款靈活調度：</w:t>
            </w:r>
          </w:p>
          <w:p w:rsidR="005B786F" w:rsidRPr="001D6AB1" w:rsidRDefault="007E5331"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w:t>
            </w:r>
            <w:r w:rsidR="000C6B7B" w:rsidRPr="001D6AB1">
              <w:rPr>
                <w:rFonts w:ascii="標楷體" w:eastAsia="標楷體" w:hAnsi="標楷體"/>
                <w:color w:val="000000" w:themeColor="text1"/>
                <w:kern w:val="2"/>
                <w:szCs w:val="24"/>
              </w:rPr>
              <w:t>建立各機關（工作計畫）歲出分配預算餘額資料檔，作為辦理支付之依據。</w:t>
            </w:r>
          </w:p>
          <w:p w:rsidR="005B786F" w:rsidRPr="001D6AB1" w:rsidRDefault="007E5331"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w:t>
            </w:r>
            <w:r w:rsidRPr="001D6AB1">
              <w:rPr>
                <w:rFonts w:ascii="標楷體" w:eastAsia="標楷體" w:hAnsi="標楷體" w:hint="eastAsia"/>
                <w:color w:val="000000" w:themeColor="text1"/>
                <w:kern w:val="2"/>
                <w:szCs w:val="24"/>
              </w:rPr>
              <w:t>2</w:t>
            </w:r>
            <w:r w:rsidRPr="001D6AB1">
              <w:rPr>
                <w:rFonts w:ascii="標楷體" w:eastAsia="標楷體" w:hAnsi="標楷體"/>
                <w:color w:val="000000" w:themeColor="text1"/>
                <w:kern w:val="2"/>
                <w:szCs w:val="24"/>
              </w:rPr>
              <w:t>)</w:t>
            </w:r>
            <w:r w:rsidR="000C6B7B" w:rsidRPr="001D6AB1">
              <w:rPr>
                <w:rFonts w:ascii="標楷體" w:eastAsia="標楷體" w:hAnsi="標楷體"/>
                <w:color w:val="000000" w:themeColor="text1"/>
                <w:kern w:val="2"/>
                <w:szCs w:val="24"/>
              </w:rPr>
              <w:t>編製各類支付報表，提供上級決策參考。</w:t>
            </w:r>
          </w:p>
          <w:p w:rsidR="005B786F" w:rsidRPr="001D6AB1" w:rsidRDefault="007E5331"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hint="eastAsia"/>
                <w:color w:val="000000" w:themeColor="text1"/>
                <w:kern w:val="2"/>
                <w:szCs w:val="24"/>
              </w:rPr>
              <w:t>2</w:t>
            </w:r>
            <w:r w:rsidR="00EE06B2" w:rsidRPr="001D6AB1">
              <w:rPr>
                <w:rFonts w:ascii="標楷體" w:eastAsia="標楷體" w:hAnsi="標楷體" w:hint="eastAsia"/>
                <w:color w:val="000000" w:themeColor="text1"/>
                <w:kern w:val="2"/>
                <w:szCs w:val="24"/>
              </w:rPr>
              <w:t>.</w:t>
            </w:r>
            <w:r w:rsidR="000C6B7B" w:rsidRPr="001D6AB1">
              <w:rPr>
                <w:rFonts w:ascii="標楷體" w:eastAsia="標楷體" w:hAnsi="標楷體"/>
                <w:color w:val="000000" w:themeColor="text1"/>
                <w:kern w:val="2"/>
                <w:szCs w:val="24"/>
              </w:rPr>
              <w:t>加強支付資料審核，確保庫款安全，提供正確、迅速付款服務，並提供支付資訊予各機關學校隨時查詢核對。</w:t>
            </w:r>
          </w:p>
          <w:p w:rsidR="005B786F" w:rsidRPr="001D6AB1" w:rsidRDefault="007E5331"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hint="eastAsia"/>
                <w:color w:val="000000" w:themeColor="text1"/>
                <w:kern w:val="2"/>
                <w:szCs w:val="24"/>
              </w:rPr>
              <w:t>3</w:t>
            </w:r>
            <w:r w:rsidR="00EE06B2" w:rsidRPr="001D6AB1">
              <w:rPr>
                <w:rFonts w:ascii="標楷體" w:eastAsia="標楷體" w:hAnsi="標楷體" w:hint="eastAsia"/>
                <w:color w:val="000000" w:themeColor="text1"/>
                <w:kern w:val="2"/>
                <w:szCs w:val="24"/>
              </w:rPr>
              <w:t>.</w:t>
            </w:r>
            <w:r w:rsidR="000C6B7B" w:rsidRPr="001D6AB1">
              <w:rPr>
                <w:rFonts w:ascii="標楷體" w:eastAsia="標楷體" w:hAnsi="標楷體"/>
                <w:color w:val="000000" w:themeColor="text1"/>
                <w:kern w:val="2"/>
                <w:szCs w:val="24"/>
              </w:rPr>
              <w:t>製作市庫集中支付作業112及113雙年度作業期間「各特種基金主管機關應行注意事項」及「各支用機關應行注意事項」予機關，以利支付業務順利執行。</w:t>
            </w:r>
          </w:p>
          <w:p w:rsidR="005B786F" w:rsidRPr="001D6AB1" w:rsidRDefault="007E5331"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hint="eastAsia"/>
                <w:color w:val="000000" w:themeColor="text1"/>
                <w:kern w:val="2"/>
                <w:szCs w:val="24"/>
              </w:rPr>
              <w:t>4</w:t>
            </w:r>
            <w:r w:rsidR="00EE06B2" w:rsidRPr="001D6AB1">
              <w:rPr>
                <w:rFonts w:ascii="標楷體" w:eastAsia="標楷體" w:hAnsi="標楷體" w:hint="eastAsia"/>
                <w:color w:val="000000" w:themeColor="text1"/>
                <w:kern w:val="2"/>
                <w:szCs w:val="24"/>
              </w:rPr>
              <w:t>.</w:t>
            </w:r>
            <w:r w:rsidR="000C6B7B" w:rsidRPr="001D6AB1">
              <w:rPr>
                <w:rFonts w:ascii="標楷體" w:eastAsia="標楷體" w:hAnsi="標楷體"/>
                <w:color w:val="000000" w:themeColor="text1"/>
                <w:kern w:val="2"/>
                <w:szCs w:val="24"/>
              </w:rPr>
              <w:t>賡續宣導各機關學校採通匯存帳作業，降低市庫支票簽發張數，有效達成正確、迅速、安全付款服務。112年</w:t>
            </w:r>
            <w:r w:rsidR="00EA7EA6" w:rsidRPr="001D6AB1">
              <w:rPr>
                <w:rFonts w:ascii="標楷體" w:eastAsia="標楷體" w:hAnsi="標楷體" w:hint="eastAsia"/>
                <w:color w:val="000000" w:themeColor="text1"/>
                <w:kern w:val="2"/>
                <w:szCs w:val="24"/>
              </w:rPr>
              <w:t>底</w:t>
            </w:r>
            <w:r w:rsidR="000C6B7B" w:rsidRPr="001D6AB1">
              <w:rPr>
                <w:rFonts w:ascii="標楷體" w:eastAsia="標楷體" w:hAnsi="標楷體"/>
                <w:color w:val="000000" w:themeColor="text1"/>
                <w:kern w:val="2"/>
                <w:szCs w:val="24"/>
              </w:rPr>
              <w:t>通匯存帳付款比率再提升達99.70%。</w:t>
            </w:r>
          </w:p>
          <w:p w:rsidR="005B786F" w:rsidRPr="001D6AB1" w:rsidRDefault="005B786F"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kern w:val="2"/>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lastRenderedPageBreak/>
              <w:t>1.不定期查核市庫代理銀行受託辦理部分支付業務情形，查核簽發市庫支票、電子支付作業系統安全控管各4次。</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2.112年度至12月底止支付筆數共37.95萬餘筆，支付淨額4,401億2,449萬餘元。</w:t>
            </w:r>
          </w:p>
          <w:p w:rsidR="0095539C" w:rsidRPr="001D6AB1" w:rsidRDefault="0095539C"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截至112年底止本府公債總額1,268億元，賡續辦理支付各期公債還本付息之手續費。</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95539C" w:rsidRPr="001D6AB1" w:rsidRDefault="0095539C"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透過債務基金如期支付銀行借款利息及公債利息。</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5B786F" w:rsidP="0095539C">
            <w:pPr>
              <w:overflowPunct w:val="0"/>
              <w:autoSpaceDE w:val="0"/>
              <w:spacing w:line="360" w:lineRule="exact"/>
              <w:ind w:right="120"/>
              <w:contextualSpacing/>
              <w:jc w:val="both"/>
              <w:rPr>
                <w:rFonts w:ascii="標楷體" w:eastAsia="標楷體" w:hAnsi="標楷體"/>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透過債務基金如期支付調節庫款收支借款利息。</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0C6B7B" w:rsidP="0095539C">
            <w:pPr>
              <w:overflowPunct w:val="0"/>
              <w:autoSpaceDE w:val="0"/>
              <w:spacing w:line="360" w:lineRule="exact"/>
              <w:ind w:right="120"/>
              <w:contextualSpacing/>
              <w:jc w:val="both"/>
              <w:rPr>
                <w:rFonts w:ascii="標楷體" w:eastAsia="標楷體" w:hAnsi="標楷體"/>
                <w:szCs w:val="24"/>
              </w:rPr>
            </w:pPr>
            <w:r w:rsidRPr="001D6AB1">
              <w:rPr>
                <w:rFonts w:ascii="標楷體" w:eastAsia="標楷體" w:hAnsi="標楷體"/>
                <w:szCs w:val="24"/>
              </w:rPr>
              <w:t xml:space="preserve"> </w:t>
            </w: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各項借款及公債均依規定辦理到期借款之償還。</w:t>
            </w:r>
          </w:p>
          <w:p w:rsidR="005B786F" w:rsidRPr="001D6AB1" w:rsidRDefault="005B786F" w:rsidP="0095539C">
            <w:pPr>
              <w:tabs>
                <w:tab w:val="left" w:pos="2640"/>
              </w:tabs>
              <w:suppressAutoHyphens w:val="0"/>
              <w:autoSpaceDN/>
              <w:spacing w:line="360" w:lineRule="exact"/>
              <w:ind w:leftChars="50" w:left="120" w:rightChars="50" w:right="120"/>
              <w:contextualSpacing/>
              <w:jc w:val="both"/>
              <w:textAlignment w:val="auto"/>
              <w:rPr>
                <w:rFonts w:ascii="標楷體" w:eastAsia="標楷體" w:hAnsi="標楷體"/>
                <w:kern w:val="2"/>
                <w:szCs w:val="24"/>
              </w:rPr>
            </w:pPr>
          </w:p>
          <w:p w:rsidR="005B786F" w:rsidRPr="001D6AB1" w:rsidRDefault="005B786F" w:rsidP="0095539C">
            <w:pPr>
              <w:tabs>
                <w:tab w:val="left" w:pos="3240"/>
              </w:tabs>
              <w:spacing w:line="360" w:lineRule="exact"/>
              <w:ind w:left="360" w:right="120" w:hanging="240"/>
              <w:contextualSpacing/>
              <w:jc w:val="both"/>
              <w:rPr>
                <w:rFonts w:ascii="標楷體" w:eastAsia="標楷體" w:hAnsi="標楷體" w:cs="標楷體"/>
                <w:kern w:val="0"/>
                <w:szCs w:val="24"/>
              </w:rPr>
            </w:pPr>
          </w:p>
          <w:p w:rsidR="005B786F" w:rsidRPr="001D6AB1" w:rsidRDefault="005B786F" w:rsidP="0095539C">
            <w:pPr>
              <w:tabs>
                <w:tab w:val="left" w:pos="3240"/>
              </w:tabs>
              <w:spacing w:line="360" w:lineRule="exact"/>
              <w:ind w:left="360" w:right="120" w:hanging="240"/>
              <w:contextualSpacing/>
              <w:jc w:val="both"/>
              <w:rPr>
                <w:rFonts w:ascii="標楷體" w:eastAsia="標楷體" w:hAnsi="標楷體" w:cs="標楷體"/>
                <w:kern w:val="0"/>
                <w:szCs w:val="24"/>
              </w:rPr>
            </w:pPr>
          </w:p>
          <w:p w:rsidR="003F3841" w:rsidRPr="001D6AB1" w:rsidRDefault="003F3841" w:rsidP="0095539C">
            <w:pPr>
              <w:tabs>
                <w:tab w:val="left" w:pos="3240"/>
              </w:tabs>
              <w:spacing w:line="360" w:lineRule="exact"/>
              <w:ind w:left="360" w:right="120" w:hanging="240"/>
              <w:contextualSpacing/>
              <w:jc w:val="both"/>
              <w:rPr>
                <w:rFonts w:ascii="標楷體" w:eastAsia="標楷體" w:hAnsi="標楷體" w:cs="標楷體"/>
                <w:kern w:val="0"/>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1.設置全功能服務櫃臺，提供單一窗口一次到位服務</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(1)全功能櫃臺提供178項一處收件全程服務(含27項跨機關服務)，計129,725件。</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(2)提供網路申報土地增值稅、契稅之民眾就近跨區收件及查欠服務，省時省力，計46,325件。</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2.設置RWD響應式網頁設計，提供智慧型手機、平板電腦網頁自動縮放功能，計2,072,897人次瀏覽。</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3.辦理洽公民眾意見滿意度調查，有效回收1,036份，服務勝任整體滿意度98.82%，並據以精進服務品質。</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4.利用跨機關服務聯盟，延伸服務據點</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(1)與澎湖、金門及連江縣等共同合作，為居住於臺灣的離島民眾提供申請、視訊、代收代轉等跨海服務，計211件。</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(2)與臺南市政府財政稅務局跨縣市合作，提供高雄、臺南兩地移居遷徙、通勤之民眾，跨縣市稅務申請案件代收代轉之服務，計2,468件。</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(3)與屏東縣政府財稅局跨縣市合作，提供高雄、屏東兩地移居遷徙、通勤之民眾，跨縣市稅務申請案件代收代轉之服務，計1,956件。</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lastRenderedPageBreak/>
              <w:t>5.為服務偏遠地區民眾洽公，與14個戶所合作，提供ND視訊服務，計20,556件。</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6.ONE視通提供一般、定點、行動視訊申辦服務，服務4,808件。</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7.開發數位服務系統，申請案件全程無紙化</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(1)運用電子簽名及影像掃描設備，將申請案件數位儲存歸檔，達節能減碳效益，服務54,803件。</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(2)運用前述設備結合電子公文系統，使案件透過網路即時傳輸，流程透明化並大幅增進行政效率，服務24,940件。</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8.提升網路服務功能，以網路代替馬路</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(1)篩選符合稅捐減免條件案件，套印申請書寄予納稅人，透過網路進入線上回復平台確認，無須郵寄或臨櫃申請，快速又便利，計10,829件。</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(2)為增進網路使用便利性，簡化網路服務流程，開發100多項線上服務功能，各項線上申辦使用計14,816件。</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(3)建置「移轉流程e點通」交易資訊網站，計23,107人次瀏覽。</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9.策劃訂定多元化之租稅教育及宣導活動執行計畫，以建立誠實納稅觀念，促進徵納雙方和諧，建構優質賦稅環境。</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(1)舉辦租稅教育與宣導活動共</w:t>
            </w:r>
            <w:r w:rsidR="00EA7EA6" w:rsidRPr="001D6AB1">
              <w:rPr>
                <w:rFonts w:ascii="標楷體" w:eastAsia="標楷體" w:hAnsi="標楷體" w:hint="eastAsia"/>
                <w:color w:val="000000" w:themeColor="text1"/>
                <w:kern w:val="2"/>
                <w:szCs w:val="24"/>
              </w:rPr>
              <w:t>400</w:t>
            </w:r>
            <w:r w:rsidRPr="001D6AB1">
              <w:rPr>
                <w:rFonts w:ascii="標楷體" w:eastAsia="標楷體" w:hAnsi="標楷體"/>
                <w:color w:val="000000" w:themeColor="text1"/>
                <w:kern w:val="2"/>
                <w:szCs w:val="24"/>
              </w:rPr>
              <w:t>場次，募集發票353,978張。</w:t>
            </w:r>
          </w:p>
          <w:p w:rsidR="005B786F" w:rsidRPr="001D6AB1" w:rsidRDefault="00D21780" w:rsidP="0095539C">
            <w:pPr>
              <w:pStyle w:val="002-1"/>
              <w:tabs>
                <w:tab w:val="left" w:pos="2880"/>
              </w:tabs>
              <w:suppressAutoHyphens w:val="0"/>
              <w:autoSpaceDN/>
              <w:snapToGrid/>
              <w:spacing w:line="360" w:lineRule="exact"/>
              <w:ind w:leftChars="320" w:left="1022" w:rightChars="50" w:right="120" w:hangingChars="106" w:hanging="254"/>
              <w:contextualSpacing/>
              <w:textAlignment w:val="auto"/>
              <w:rPr>
                <w:color w:val="000000" w:themeColor="text1"/>
                <w:kern w:val="0"/>
                <w:szCs w:val="24"/>
              </w:rPr>
            </w:pPr>
            <w:r w:rsidRPr="001D6AB1">
              <w:rPr>
                <w:color w:val="000000" w:themeColor="text1"/>
                <w:kern w:val="0"/>
                <w:szCs w:val="24"/>
              </w:rPr>
              <w:sym w:font="Wingdings" w:char="F081"/>
            </w:r>
            <w:r w:rsidR="000C6B7B" w:rsidRPr="001D6AB1">
              <w:rPr>
                <w:color w:val="000000" w:themeColor="text1"/>
                <w:kern w:val="0"/>
                <w:szCs w:val="24"/>
              </w:rPr>
              <w:t>辦理實體租稅宣導，提升全民納稅意識，增裕稅收</w:t>
            </w:r>
          </w:p>
          <w:p w:rsidR="005B786F" w:rsidRPr="001D6AB1" w:rsidRDefault="000C6B7B" w:rsidP="0095539C">
            <w:pPr>
              <w:pStyle w:val="002-1"/>
              <w:tabs>
                <w:tab w:val="left" w:pos="2880"/>
              </w:tabs>
              <w:suppressAutoHyphens w:val="0"/>
              <w:autoSpaceDN/>
              <w:snapToGrid/>
              <w:spacing w:line="360" w:lineRule="exact"/>
              <w:ind w:leftChars="420" w:left="1255" w:rightChars="50" w:right="120" w:hangingChars="103" w:hanging="247"/>
              <w:contextualSpacing/>
              <w:textAlignment w:val="auto"/>
              <w:rPr>
                <w:rFonts w:cs="標楷體"/>
                <w:color w:val="000000" w:themeColor="text1"/>
                <w:kern w:val="0"/>
                <w:szCs w:val="24"/>
              </w:rPr>
            </w:pPr>
            <w:r w:rsidRPr="001D6AB1">
              <w:rPr>
                <w:rFonts w:cs="標楷體"/>
                <w:color w:val="000000" w:themeColor="text1"/>
                <w:kern w:val="0"/>
                <w:szCs w:val="24"/>
              </w:rPr>
              <w:t>A.結合本府各局處、各區公所、里辦公室及財政部高雄國稅局活動，如「2023高雄內門宋江陣」、「2023鳳荔節」、「重陽節敬老活動」、「2023路竹蕃茄節番樂小夥伴」等活動辦理租稅宣導，計辦理122場，宣導超過10萬人。</w:t>
            </w:r>
          </w:p>
          <w:p w:rsidR="005B786F" w:rsidRPr="001D6AB1" w:rsidRDefault="000C6B7B" w:rsidP="0095539C">
            <w:pPr>
              <w:pStyle w:val="002-1"/>
              <w:tabs>
                <w:tab w:val="left" w:pos="2880"/>
              </w:tabs>
              <w:suppressAutoHyphens w:val="0"/>
              <w:autoSpaceDN/>
              <w:snapToGrid/>
              <w:spacing w:line="360" w:lineRule="exact"/>
              <w:ind w:leftChars="420" w:left="1255" w:rightChars="50" w:right="120" w:hangingChars="103" w:hanging="247"/>
              <w:contextualSpacing/>
              <w:textAlignment w:val="auto"/>
              <w:rPr>
                <w:rFonts w:cs="標楷體"/>
                <w:color w:val="000000" w:themeColor="text1"/>
                <w:kern w:val="0"/>
                <w:szCs w:val="24"/>
              </w:rPr>
            </w:pPr>
            <w:r w:rsidRPr="001D6AB1">
              <w:rPr>
                <w:rFonts w:cs="標楷體"/>
                <w:color w:val="000000" w:themeColor="text1"/>
                <w:kern w:val="0"/>
                <w:szCs w:val="24"/>
              </w:rPr>
              <w:t>B.利用假日人潮聚集的百貨公司及大賣場舉辦駐點推廣統一發票兌獎APP及宣傳重要稅制稅政，計辦理4場，宣導1,200人。</w:t>
            </w:r>
          </w:p>
          <w:p w:rsidR="005B786F" w:rsidRPr="001D6AB1" w:rsidRDefault="00D21780" w:rsidP="0095539C">
            <w:pPr>
              <w:pStyle w:val="002-1"/>
              <w:tabs>
                <w:tab w:val="left" w:pos="2880"/>
              </w:tabs>
              <w:suppressAutoHyphens w:val="0"/>
              <w:autoSpaceDN/>
              <w:snapToGrid/>
              <w:spacing w:line="360" w:lineRule="exact"/>
              <w:ind w:leftChars="320" w:left="972" w:rightChars="50" w:right="120" w:hangingChars="85" w:hanging="204"/>
              <w:contextualSpacing/>
              <w:textAlignment w:val="auto"/>
              <w:rPr>
                <w:color w:val="000000" w:themeColor="text1"/>
                <w:kern w:val="0"/>
                <w:szCs w:val="24"/>
              </w:rPr>
            </w:pPr>
            <w:r w:rsidRPr="001D6AB1">
              <w:rPr>
                <w:color w:val="000000" w:themeColor="text1"/>
                <w:kern w:val="0"/>
                <w:szCs w:val="24"/>
              </w:rPr>
              <w:sym w:font="Wingdings" w:char="F082"/>
            </w:r>
            <w:r w:rsidR="000C6B7B" w:rsidRPr="001D6AB1">
              <w:rPr>
                <w:color w:val="000000" w:themeColor="text1"/>
                <w:kern w:val="0"/>
                <w:szCs w:val="24"/>
              </w:rPr>
              <w:t>辦理線上推廣活動，透過網路無遠弗屆之力量，加強推廣統一(雲端)發票及稅務常識。</w:t>
            </w:r>
          </w:p>
          <w:p w:rsidR="005B786F" w:rsidRPr="001D6AB1" w:rsidRDefault="000C6B7B" w:rsidP="0095539C">
            <w:pPr>
              <w:pStyle w:val="002-1"/>
              <w:tabs>
                <w:tab w:val="left" w:pos="2880"/>
              </w:tabs>
              <w:suppressAutoHyphens w:val="0"/>
              <w:autoSpaceDN/>
              <w:snapToGrid/>
              <w:spacing w:line="360" w:lineRule="exact"/>
              <w:ind w:leftChars="420" w:left="1255" w:rightChars="50" w:right="120" w:hangingChars="103" w:hanging="247"/>
              <w:contextualSpacing/>
              <w:textAlignment w:val="auto"/>
              <w:rPr>
                <w:rFonts w:cs="標楷體"/>
                <w:color w:val="000000" w:themeColor="text1"/>
                <w:kern w:val="0"/>
                <w:szCs w:val="24"/>
              </w:rPr>
            </w:pPr>
            <w:r w:rsidRPr="001D6AB1">
              <w:rPr>
                <w:rFonts w:cs="標楷體"/>
                <w:color w:val="000000" w:themeColor="text1"/>
                <w:kern w:val="0"/>
                <w:szCs w:val="24"/>
              </w:rPr>
              <w:t>A.官網建置「租稅宣導專區」，集結「宣導活動、數位宣導、進來好好稅Podcast、稅務問與答、有獎徵答、宣導手冊、雲端發票專區」便利民眾快速獲得各宣導資訊。</w:t>
            </w:r>
          </w:p>
          <w:p w:rsidR="005B786F" w:rsidRPr="001D6AB1" w:rsidRDefault="000C6B7B" w:rsidP="0095539C">
            <w:pPr>
              <w:pStyle w:val="002-1"/>
              <w:tabs>
                <w:tab w:val="left" w:pos="2880"/>
              </w:tabs>
              <w:suppressAutoHyphens w:val="0"/>
              <w:autoSpaceDN/>
              <w:snapToGrid/>
              <w:spacing w:line="360" w:lineRule="exact"/>
              <w:ind w:leftChars="420" w:left="1255" w:rightChars="50" w:right="120" w:hangingChars="103" w:hanging="247"/>
              <w:contextualSpacing/>
              <w:textAlignment w:val="auto"/>
              <w:rPr>
                <w:rFonts w:cs="標楷體"/>
                <w:color w:val="000000" w:themeColor="text1"/>
                <w:kern w:val="0"/>
                <w:szCs w:val="24"/>
              </w:rPr>
            </w:pPr>
            <w:r w:rsidRPr="001D6AB1">
              <w:rPr>
                <w:rFonts w:cs="標楷體"/>
                <w:color w:val="000000" w:themeColor="text1"/>
                <w:kern w:val="0"/>
                <w:szCs w:val="24"/>
              </w:rPr>
              <w:t>B.配合三大稅開徵期間舉辦「e化繳稅雄好康抽獎活動」、「稅務e問答抽獎活動」，計辦理</w:t>
            </w:r>
            <w:r w:rsidR="00EA7EA6" w:rsidRPr="001D6AB1">
              <w:rPr>
                <w:rFonts w:cs="標楷體" w:hint="eastAsia"/>
                <w:color w:val="000000" w:themeColor="text1"/>
                <w:kern w:val="0"/>
                <w:szCs w:val="24"/>
              </w:rPr>
              <w:t>6</w:t>
            </w:r>
            <w:r w:rsidRPr="001D6AB1">
              <w:rPr>
                <w:rFonts w:cs="標楷體"/>
                <w:color w:val="000000" w:themeColor="text1"/>
                <w:kern w:val="0"/>
                <w:szCs w:val="24"/>
              </w:rPr>
              <w:t>場，宣導超過20萬人。</w:t>
            </w:r>
          </w:p>
          <w:p w:rsidR="0095539C" w:rsidRPr="001D6AB1" w:rsidRDefault="0095539C" w:rsidP="0095539C">
            <w:pPr>
              <w:pStyle w:val="002-1"/>
              <w:tabs>
                <w:tab w:val="left" w:pos="2880"/>
              </w:tabs>
              <w:suppressAutoHyphens w:val="0"/>
              <w:autoSpaceDN/>
              <w:snapToGrid/>
              <w:spacing w:line="360" w:lineRule="exact"/>
              <w:ind w:leftChars="420" w:left="1255" w:rightChars="50" w:right="120" w:hangingChars="103" w:hanging="247"/>
              <w:contextualSpacing/>
              <w:textAlignment w:val="auto"/>
              <w:rPr>
                <w:rFonts w:cs="標楷體"/>
                <w:color w:val="000000" w:themeColor="text1"/>
                <w:kern w:val="0"/>
                <w:szCs w:val="24"/>
              </w:rPr>
            </w:pPr>
          </w:p>
          <w:p w:rsidR="005B786F" w:rsidRPr="001D6AB1" w:rsidRDefault="000C6B7B" w:rsidP="0095539C">
            <w:pPr>
              <w:pStyle w:val="002-1"/>
              <w:tabs>
                <w:tab w:val="left" w:pos="2880"/>
              </w:tabs>
              <w:suppressAutoHyphens w:val="0"/>
              <w:autoSpaceDN/>
              <w:snapToGrid/>
              <w:spacing w:line="360" w:lineRule="exact"/>
              <w:ind w:leftChars="420" w:left="1255" w:rightChars="50" w:right="120" w:hangingChars="103" w:hanging="247"/>
              <w:contextualSpacing/>
              <w:textAlignment w:val="auto"/>
              <w:rPr>
                <w:rFonts w:cs="標楷體"/>
                <w:color w:val="000000" w:themeColor="text1"/>
                <w:kern w:val="0"/>
                <w:szCs w:val="24"/>
              </w:rPr>
            </w:pPr>
            <w:r w:rsidRPr="001D6AB1">
              <w:rPr>
                <w:rFonts w:cs="標楷體"/>
                <w:color w:val="000000" w:themeColor="text1"/>
                <w:kern w:val="0"/>
                <w:szCs w:val="24"/>
              </w:rPr>
              <w:lastRenderedPageBreak/>
              <w:t>C.落實無紙化政策目標，舉辦「電子稅單e傳送」推廣活動，截至112年度成功申請電子稅單件數有27,585件。</w:t>
            </w:r>
          </w:p>
          <w:p w:rsidR="005B786F" w:rsidRPr="001D6AB1" w:rsidRDefault="000C6B7B" w:rsidP="0095539C">
            <w:pPr>
              <w:pStyle w:val="002-1"/>
              <w:tabs>
                <w:tab w:val="left" w:pos="2880"/>
              </w:tabs>
              <w:suppressAutoHyphens w:val="0"/>
              <w:autoSpaceDN/>
              <w:snapToGrid/>
              <w:spacing w:line="360" w:lineRule="exact"/>
              <w:ind w:leftChars="420" w:left="1255" w:rightChars="50" w:right="120" w:hangingChars="103" w:hanging="247"/>
              <w:contextualSpacing/>
              <w:textAlignment w:val="auto"/>
              <w:rPr>
                <w:rFonts w:cs="標楷體"/>
                <w:color w:val="000000" w:themeColor="text1"/>
                <w:kern w:val="0"/>
                <w:szCs w:val="24"/>
              </w:rPr>
            </w:pPr>
            <w:r w:rsidRPr="001D6AB1">
              <w:rPr>
                <w:rFonts w:cs="標楷體"/>
                <w:color w:val="000000" w:themeColor="text1"/>
                <w:kern w:val="0"/>
                <w:szCs w:val="24"/>
              </w:rPr>
              <w:t>D.舉辦積分任務型、闖關型等多元宣導活動，推廣租稅知識及雲端發票，計辦理</w:t>
            </w:r>
            <w:r w:rsidR="00EA7EA6" w:rsidRPr="001D6AB1">
              <w:rPr>
                <w:rFonts w:cs="標楷體" w:hint="eastAsia"/>
                <w:color w:val="000000" w:themeColor="text1"/>
                <w:kern w:val="0"/>
                <w:szCs w:val="24"/>
              </w:rPr>
              <w:t>6</w:t>
            </w:r>
            <w:r w:rsidRPr="001D6AB1">
              <w:rPr>
                <w:rFonts w:cs="標楷體"/>
                <w:color w:val="000000" w:themeColor="text1"/>
                <w:kern w:val="0"/>
                <w:szCs w:val="24"/>
              </w:rPr>
              <w:t>場，宣導超過8萬人。</w:t>
            </w:r>
          </w:p>
          <w:p w:rsidR="005B786F" w:rsidRPr="001D6AB1" w:rsidRDefault="000C6B7B" w:rsidP="0095539C">
            <w:pPr>
              <w:pStyle w:val="002-1"/>
              <w:tabs>
                <w:tab w:val="left" w:pos="2880"/>
              </w:tabs>
              <w:suppressAutoHyphens w:val="0"/>
              <w:autoSpaceDN/>
              <w:snapToGrid/>
              <w:spacing w:line="360" w:lineRule="exact"/>
              <w:ind w:leftChars="420" w:left="1255" w:rightChars="50" w:right="120" w:hangingChars="103" w:hanging="247"/>
              <w:contextualSpacing/>
              <w:textAlignment w:val="auto"/>
              <w:rPr>
                <w:rFonts w:cs="標楷體"/>
                <w:color w:val="000000" w:themeColor="text1"/>
                <w:kern w:val="0"/>
                <w:szCs w:val="24"/>
              </w:rPr>
            </w:pPr>
            <w:r w:rsidRPr="001D6AB1">
              <w:rPr>
                <w:rFonts w:cs="標楷體"/>
                <w:color w:val="000000" w:themeColor="text1"/>
                <w:kern w:val="0"/>
                <w:szCs w:val="24"/>
              </w:rPr>
              <w:t>E.舉辦線上捐贈雲端發票做公益活動，辦理3場，宣導5,000人。</w:t>
            </w:r>
          </w:p>
          <w:p w:rsidR="005B786F" w:rsidRPr="001D6AB1" w:rsidRDefault="00D21780" w:rsidP="0095539C">
            <w:pPr>
              <w:pStyle w:val="002-1"/>
              <w:tabs>
                <w:tab w:val="left" w:pos="2880"/>
              </w:tabs>
              <w:suppressAutoHyphens w:val="0"/>
              <w:autoSpaceDN/>
              <w:snapToGrid/>
              <w:spacing w:line="360" w:lineRule="exact"/>
              <w:ind w:leftChars="320" w:left="972" w:rightChars="50" w:right="120" w:hangingChars="85" w:hanging="204"/>
              <w:contextualSpacing/>
              <w:textAlignment w:val="auto"/>
              <w:rPr>
                <w:color w:val="000000" w:themeColor="text1"/>
                <w:kern w:val="0"/>
                <w:szCs w:val="24"/>
              </w:rPr>
            </w:pPr>
            <w:r w:rsidRPr="001D6AB1">
              <w:rPr>
                <w:color w:val="000000" w:themeColor="text1"/>
                <w:kern w:val="0"/>
                <w:szCs w:val="24"/>
              </w:rPr>
              <w:sym w:font="Wingdings" w:char="F083"/>
            </w:r>
            <w:r w:rsidR="000C6B7B" w:rsidRPr="001D6AB1">
              <w:rPr>
                <w:color w:val="000000" w:themeColor="text1"/>
                <w:kern w:val="0"/>
                <w:szCs w:val="24"/>
              </w:rPr>
              <w:t>舉辦租稅教育講習，宣導租稅法令、納稅者權利保護法，並解答市民各項稅務疑義</w:t>
            </w:r>
            <w:r w:rsidR="00A650BE" w:rsidRPr="001D6AB1">
              <w:rPr>
                <w:rFonts w:hint="eastAsia"/>
                <w:color w:val="000000" w:themeColor="text1"/>
                <w:kern w:val="0"/>
                <w:szCs w:val="24"/>
              </w:rPr>
              <w:t>，如</w:t>
            </w:r>
            <w:r w:rsidR="000C6B7B" w:rsidRPr="001D6AB1">
              <w:rPr>
                <w:color w:val="000000" w:themeColor="text1"/>
                <w:kern w:val="0"/>
                <w:szCs w:val="24"/>
              </w:rPr>
              <w:t>針對國中小師生、專業代理人士、社區里民、工商團體等對象，客製課程分眾行銷舉辦「租稅行動教室」講座，計辦理</w:t>
            </w:r>
            <w:r w:rsidR="00EA7EA6" w:rsidRPr="001D6AB1">
              <w:rPr>
                <w:rFonts w:hint="eastAsia"/>
                <w:color w:val="000000" w:themeColor="text1"/>
                <w:kern w:val="0"/>
                <w:szCs w:val="24"/>
              </w:rPr>
              <w:t>110</w:t>
            </w:r>
            <w:r w:rsidR="000C6B7B" w:rsidRPr="001D6AB1">
              <w:rPr>
                <w:color w:val="000000" w:themeColor="text1"/>
                <w:kern w:val="0"/>
                <w:szCs w:val="24"/>
              </w:rPr>
              <w:t>場。</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利用電視台、廣播電台、平面媒體、熱門入口網站、社群網站、LED跑馬燈、車體廣告、候車亭、戶外LCD看板等，密集宣傳地方稅三大稅開徵訊息、利用e化管道繳稅、稅捐稽徵法修法重點、納稅者權利保護法、以電子方式傳送繳款書及雲端發票等相關稅務訊息。</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(3)利用財政局稅捐處臉書宣傳各項稅制稅政及便民服務措施，舉辦留言抽獎活動，計辦理</w:t>
            </w:r>
            <w:r w:rsidR="00EA7EA6" w:rsidRPr="001D6AB1">
              <w:rPr>
                <w:rFonts w:ascii="標楷體" w:eastAsia="標楷體" w:hAnsi="標楷體" w:hint="eastAsia"/>
                <w:color w:val="000000" w:themeColor="text1"/>
                <w:kern w:val="2"/>
                <w:szCs w:val="24"/>
              </w:rPr>
              <w:t>11</w:t>
            </w:r>
            <w:r w:rsidRPr="001D6AB1">
              <w:rPr>
                <w:rFonts w:ascii="標楷體" w:eastAsia="標楷體" w:hAnsi="標楷體"/>
                <w:color w:val="000000" w:themeColor="text1"/>
                <w:kern w:val="2"/>
                <w:szCs w:val="24"/>
              </w:rPr>
              <w:t>場，吸引</w:t>
            </w:r>
            <w:r w:rsidR="00EA7EA6" w:rsidRPr="001D6AB1">
              <w:rPr>
                <w:rFonts w:ascii="標楷體" w:eastAsia="標楷體" w:hAnsi="標楷體" w:hint="eastAsia"/>
                <w:color w:val="000000" w:themeColor="text1"/>
                <w:kern w:val="2"/>
                <w:szCs w:val="24"/>
              </w:rPr>
              <w:t>2</w:t>
            </w:r>
            <w:r w:rsidRPr="001D6AB1">
              <w:rPr>
                <w:rFonts w:ascii="標楷體" w:eastAsia="標楷體" w:hAnsi="標楷體"/>
                <w:color w:val="000000" w:themeColor="text1"/>
                <w:kern w:val="2"/>
                <w:szCs w:val="24"/>
              </w:rPr>
              <w:t>萬多名粉絲參加，觸及超過15萬人次。112年貼文計有38</w:t>
            </w:r>
            <w:r w:rsidR="00EA7EA6" w:rsidRPr="001D6AB1">
              <w:rPr>
                <w:rFonts w:ascii="標楷體" w:eastAsia="標楷體" w:hAnsi="標楷體" w:hint="eastAsia"/>
                <w:color w:val="000000" w:themeColor="text1"/>
                <w:kern w:val="2"/>
                <w:szCs w:val="24"/>
              </w:rPr>
              <w:t>6</w:t>
            </w:r>
            <w:r w:rsidRPr="001D6AB1">
              <w:rPr>
                <w:rFonts w:ascii="標楷體" w:eastAsia="標楷體" w:hAnsi="標楷體"/>
                <w:color w:val="000000" w:themeColor="text1"/>
                <w:kern w:val="2"/>
                <w:szCs w:val="24"/>
              </w:rPr>
              <w:t>則，貼文觸及21</w:t>
            </w:r>
            <w:r w:rsidR="00EA7EA6" w:rsidRPr="001D6AB1">
              <w:rPr>
                <w:rFonts w:ascii="標楷體" w:eastAsia="標楷體" w:hAnsi="標楷體" w:hint="eastAsia"/>
                <w:color w:val="000000" w:themeColor="text1"/>
                <w:kern w:val="2"/>
                <w:szCs w:val="24"/>
              </w:rPr>
              <w:t>9</w:t>
            </w:r>
            <w:r w:rsidRPr="001D6AB1">
              <w:rPr>
                <w:rFonts w:ascii="標楷體" w:eastAsia="標楷體" w:hAnsi="標楷體"/>
                <w:color w:val="000000" w:themeColor="text1"/>
                <w:kern w:val="2"/>
                <w:szCs w:val="24"/>
              </w:rPr>
              <w:t xml:space="preserve">萬人次。 </w:t>
            </w:r>
          </w:p>
          <w:p w:rsidR="005B786F" w:rsidRPr="001D6AB1" w:rsidRDefault="005B786F" w:rsidP="0095539C">
            <w:pPr>
              <w:spacing w:line="360" w:lineRule="exact"/>
              <w:ind w:left="360" w:right="120" w:hanging="240"/>
              <w:contextualSpacing/>
              <w:rPr>
                <w:rFonts w:ascii="標楷體" w:eastAsia="標楷體" w:hAnsi="標楷體" w:cs="標楷體"/>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1.徵收地價稅</w:t>
            </w: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369" w:right="119"/>
              <w:contextualSpacing/>
              <w:rPr>
                <w:color w:val="000000" w:themeColor="text1"/>
                <w:spacing w:val="-4"/>
              </w:rPr>
            </w:pPr>
            <w:r w:rsidRPr="001D6AB1">
              <w:rPr>
                <w:color w:val="000000" w:themeColor="text1"/>
                <w:spacing w:val="-4"/>
              </w:rPr>
              <w:t>112年預算數124.5億元，實徵淨額129.66億元，超徵5.16億元，預算達成率104.1%；較111年實徵淨額127.28億元，增加2.38億元，正成長1.9%。</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(1)本年地價稅滯納期滿查定稅額127.55億元，較去年126.95億元增加0.6億元，徵起率98.14%亦較去年97.2%增加0.94%，致實徵淨額較上年度正成長。</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(2)執行地價稅催徵工作，全年舊欠徵起數約3.38億元。</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(3)運用內外部通報課稅資料，積極執行年度地價稅稅籍清查工作，全年清查補徵稅收約1.4億元。</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2.徵收土地增值稅</w:t>
            </w: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369" w:right="119"/>
              <w:contextualSpacing/>
              <w:rPr>
                <w:color w:val="000000" w:themeColor="text1"/>
                <w:spacing w:val="-4"/>
              </w:rPr>
            </w:pPr>
            <w:r w:rsidRPr="001D6AB1">
              <w:rPr>
                <w:color w:val="000000" w:themeColor="text1"/>
                <w:spacing w:val="-4"/>
              </w:rPr>
              <w:t>112年預算數84.8億元，實徵淨額53.9億元，短徵30.9億元，預算達成率63.6%；較111年實徵淨額75.6億元，減少21.7億元，負成長28.7%。</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(1)因長期持有大面積土地之移轉案件銳減，112年大額(100萬元以上)案件稅收計24.5億元，較去年減少16.7億元。</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(2)112年申報件數為93,943件，雖較去年92,289件正成長1.8%，惟多屬小額稅款，致實徵淨額仍較上年度負成長。</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lastRenderedPageBreak/>
              <w:t>3.徵收契稅</w:t>
            </w: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369" w:right="119"/>
              <w:contextualSpacing/>
              <w:rPr>
                <w:color w:val="000000" w:themeColor="text1"/>
                <w:spacing w:val="-4"/>
              </w:rPr>
            </w:pPr>
            <w:r w:rsidRPr="001D6AB1">
              <w:rPr>
                <w:color w:val="000000" w:themeColor="text1"/>
                <w:spacing w:val="-4"/>
              </w:rPr>
              <w:t>112年預算數24.2億元，實徵淨額21.37億元，短徵2.83億元，預算達成率88.3%；較111年實徵淨額20.58億元，增加0.79億元，正成長3.8%。</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(1)本年度因房市交易降溫，移轉繳納件數累計46,323件，較上年度46,829件，減少506件(減幅1.08%)，惟10萬元以上契稅案件較上年度增加，致實徵淨額較上年度成長3.8%。</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(2)執行實質課稅之管制與查核，112年度計核課1</w:t>
            </w:r>
            <w:r w:rsidR="00EA7EA6" w:rsidRPr="001D6AB1">
              <w:rPr>
                <w:rFonts w:ascii="標楷體" w:eastAsia="標楷體" w:hAnsi="標楷體" w:hint="eastAsia"/>
                <w:color w:val="000000" w:themeColor="text1"/>
                <w:kern w:val="2"/>
                <w:szCs w:val="24"/>
              </w:rPr>
              <w:t>63</w:t>
            </w:r>
            <w:r w:rsidRPr="001D6AB1">
              <w:rPr>
                <w:rFonts w:ascii="標楷體" w:eastAsia="標楷體" w:hAnsi="標楷體"/>
                <w:color w:val="000000" w:themeColor="text1"/>
                <w:kern w:val="2"/>
                <w:szCs w:val="24"/>
              </w:rPr>
              <w:t>件，徵起稅額</w:t>
            </w:r>
            <w:r w:rsidR="00EA7EA6" w:rsidRPr="001D6AB1">
              <w:rPr>
                <w:rFonts w:ascii="標楷體" w:eastAsia="標楷體" w:hAnsi="標楷體" w:hint="eastAsia"/>
                <w:color w:val="000000" w:themeColor="text1"/>
                <w:kern w:val="2"/>
                <w:szCs w:val="24"/>
              </w:rPr>
              <w:t>517</w:t>
            </w:r>
            <w:r w:rsidRPr="001D6AB1">
              <w:rPr>
                <w:rFonts w:ascii="標楷體" w:eastAsia="標楷體" w:hAnsi="標楷體"/>
                <w:color w:val="000000" w:themeColor="text1"/>
                <w:kern w:val="2"/>
                <w:szCs w:val="24"/>
              </w:rPr>
              <w:t>萬元。</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4.徵收房屋稅</w:t>
            </w: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369" w:right="119"/>
              <w:contextualSpacing/>
              <w:rPr>
                <w:color w:val="000000" w:themeColor="text1"/>
                <w:spacing w:val="-4"/>
              </w:rPr>
            </w:pPr>
            <w:r w:rsidRPr="001D6AB1">
              <w:rPr>
                <w:color w:val="000000" w:themeColor="text1"/>
                <w:spacing w:val="-4"/>
              </w:rPr>
              <w:t>112年預算數115.3億元，實徵淨額119.16億元，超徵3.86億元，預算達成率103.3%；較111年實徵淨額109.13億元，增加10.03億元，正成長9.2%。</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因新建房屋穩定增加且適用調整後標準單價，及本市房屋稅徵收自治條例修正提高非自住住家用房屋稅徵收率，使112年房屋稅正期開徵查定數115.2億元，較111年查定數108.2億元，增加7億元，暨戮力執行房屋稅稅籍及使用情形清查工作、確實執行欠稅催繳作業，致實徵淨額較上年度成長9.2%。</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(2)積極執行年度房屋稅開徵及催徵工作，112年徵起金額114.26億元，徵起率達99.31%，較111年徵起105.26億元，增加9億元。</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(3)執行112年度房屋稅稅籍及使用情形清查工作計畫，全年增加稅收計0.7億元。</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5.徵收印花稅</w:t>
            </w: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369" w:right="119"/>
              <w:contextualSpacing/>
              <w:rPr>
                <w:color w:val="000000" w:themeColor="text1"/>
                <w:spacing w:val="-4"/>
              </w:rPr>
            </w:pPr>
            <w:r w:rsidRPr="001D6AB1">
              <w:rPr>
                <w:color w:val="000000" w:themeColor="text1"/>
                <w:spacing w:val="-4"/>
              </w:rPr>
              <w:t>112年預算數11.86億元，實徵淨額15.86億元，超徵4.0億元，預算達成率133.7%；較111年實徵淨額14.74億元，增加1.12億元，正成長7.6%。</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(1)本年度因金融業、保險業及醫療業等彙總申報自繳稅額較上年度增加8,736萬元，且承攬契據繳納稅額較上年度增加5,613萬元，致實徵淨額較上年度增加7.6%。</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(2)執行「印花稅應稅憑證檢查作業計畫」，積極加強檢查工作，以達課稅公平，計查核1,583家，自動補報繳稅額3億3,957萬元。</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6.徵收土石採取景觀維護特別稅</w:t>
            </w: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369" w:right="119"/>
              <w:contextualSpacing/>
              <w:rPr>
                <w:color w:val="000000" w:themeColor="text1"/>
                <w:spacing w:val="-4"/>
              </w:rPr>
            </w:pPr>
            <w:r w:rsidRPr="001D6AB1">
              <w:rPr>
                <w:color w:val="000000" w:themeColor="text1"/>
                <w:spacing w:val="-4"/>
              </w:rPr>
              <w:t>112年預算數0.59億元，實徵淨額0.527億元，短徵0.063億元，預算達成率89.3%；較111年實徵淨額0.895億元，減少0.368億元，負成長41.1%。</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lastRenderedPageBreak/>
              <w:t>(1)本年度接獲各權管機關通報土石採取數量較去年減少，負成長32.5%，致實徵淨額較上年度負成長41.1%。</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(2)持續加強與經濟部水利署南區水資源分署、第六河川分署、第七河川分署、本府水利局及各區公所聯繫，及時掌握稅源。</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7.工程受益費</w:t>
            </w: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369" w:right="119"/>
              <w:contextualSpacing/>
              <w:rPr>
                <w:color w:val="000000" w:themeColor="text1"/>
                <w:spacing w:val="-4"/>
              </w:rPr>
            </w:pPr>
            <w:r w:rsidRPr="001D6AB1">
              <w:rPr>
                <w:color w:val="000000" w:themeColor="text1"/>
                <w:spacing w:val="-4"/>
              </w:rPr>
              <w:t>依工程受益費徵收條例暨其施行細則規定，辦理工程受益費稽徵工作，112年實徵淨額為15.9萬元。</w:t>
            </w:r>
          </w:p>
          <w:p w:rsidR="005B786F" w:rsidRPr="001D6AB1" w:rsidRDefault="005B786F" w:rsidP="0095539C">
            <w:pPr>
              <w:pStyle w:val="002-1"/>
              <w:tabs>
                <w:tab w:val="left" w:pos="2880"/>
              </w:tabs>
              <w:overflowPunct w:val="0"/>
              <w:autoSpaceDE w:val="0"/>
              <w:snapToGrid/>
              <w:spacing w:line="360" w:lineRule="exact"/>
              <w:ind w:left="360" w:right="120" w:hanging="240"/>
              <w:contextualSpacing/>
              <w:rPr>
                <w:color w:val="auto"/>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1.徵收使用牌照稅</w:t>
            </w: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369" w:right="119"/>
              <w:contextualSpacing/>
              <w:rPr>
                <w:color w:val="000000" w:themeColor="text1"/>
                <w:spacing w:val="-4"/>
              </w:rPr>
            </w:pPr>
            <w:r w:rsidRPr="001D6AB1">
              <w:rPr>
                <w:color w:val="000000" w:themeColor="text1"/>
                <w:spacing w:val="-4"/>
              </w:rPr>
              <w:t>112年預算數75.3億元，實徵淨額76.34億元，超徵1.04億元，預算達成率101.4%；較111年實徵淨額75.68億元，增加0.66億元，正成長0.87%。</w:t>
            </w:r>
          </w:p>
          <w:p w:rsidR="005B786F" w:rsidRPr="001D6AB1" w:rsidRDefault="00D21780"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w:t>
            </w:r>
            <w:r w:rsidR="000C6B7B" w:rsidRPr="001D6AB1">
              <w:rPr>
                <w:rFonts w:ascii="標楷體" w:eastAsia="標楷體" w:hAnsi="標楷體"/>
                <w:color w:val="000000" w:themeColor="text1"/>
                <w:kern w:val="2"/>
                <w:szCs w:val="24"/>
              </w:rPr>
              <w:t>使用牌照稅自徵系統(VLT)上線後，每年節省監理資訊系統使用費251萬5千元支出。</w:t>
            </w:r>
          </w:p>
          <w:p w:rsidR="005B786F" w:rsidRPr="001D6AB1" w:rsidRDefault="00D21780"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w:t>
            </w:r>
            <w:r w:rsidRPr="001D6AB1">
              <w:rPr>
                <w:rFonts w:ascii="標楷體" w:eastAsia="標楷體" w:hAnsi="標楷體" w:hint="eastAsia"/>
                <w:color w:val="000000" w:themeColor="text1"/>
                <w:kern w:val="2"/>
                <w:szCs w:val="24"/>
              </w:rPr>
              <w:t>2</w:t>
            </w:r>
            <w:r w:rsidRPr="001D6AB1">
              <w:rPr>
                <w:rFonts w:ascii="標楷體" w:eastAsia="標楷體" w:hAnsi="標楷體"/>
                <w:color w:val="000000" w:themeColor="text1"/>
                <w:kern w:val="2"/>
                <w:szCs w:val="24"/>
              </w:rPr>
              <w:t>)</w:t>
            </w:r>
            <w:r w:rsidR="000C6B7B" w:rsidRPr="001D6AB1">
              <w:rPr>
                <w:rFonts w:ascii="標楷體" w:eastAsia="標楷體" w:hAnsi="標楷體"/>
                <w:color w:val="000000" w:themeColor="text1"/>
                <w:kern w:val="2"/>
                <w:szCs w:val="24"/>
              </w:rPr>
              <w:t>開徵後未依限繳納者，先以平信寄催繳繳款書，次以雙掛號取證，逾滯納期仍未繳納者即移送強制執行，計35,318件。</w:t>
            </w:r>
          </w:p>
          <w:p w:rsidR="005B786F" w:rsidRPr="001D6AB1" w:rsidRDefault="00D21780"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w:t>
            </w:r>
            <w:r w:rsidRPr="001D6AB1">
              <w:rPr>
                <w:rFonts w:ascii="標楷體" w:eastAsia="標楷體" w:hAnsi="標楷體" w:hint="eastAsia"/>
                <w:color w:val="000000" w:themeColor="text1"/>
                <w:kern w:val="2"/>
                <w:szCs w:val="24"/>
              </w:rPr>
              <w:t>3</w:t>
            </w:r>
            <w:r w:rsidRPr="001D6AB1">
              <w:rPr>
                <w:rFonts w:ascii="標楷體" w:eastAsia="標楷體" w:hAnsi="標楷體"/>
                <w:color w:val="000000" w:themeColor="text1"/>
                <w:kern w:val="2"/>
                <w:szCs w:val="24"/>
              </w:rPr>
              <w:t>)</w:t>
            </w:r>
            <w:r w:rsidR="000C6B7B" w:rsidRPr="001D6AB1">
              <w:rPr>
                <w:rFonts w:ascii="標楷體" w:eastAsia="標楷體" w:hAnsi="標楷體"/>
                <w:color w:val="000000" w:themeColor="text1"/>
                <w:kern w:val="2"/>
                <w:szCs w:val="24"/>
              </w:rPr>
              <w:t>利用全國停車格停車收費電子檔及交通違規資料，查獲本市未稅及無牌使用公共道路車輛，裁罰6,309件，補稅7,164萬元，裁處罰鍰3,628萬元。</w:t>
            </w:r>
          </w:p>
          <w:p w:rsidR="005B786F" w:rsidRPr="001D6AB1" w:rsidRDefault="00D21780"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w:t>
            </w:r>
            <w:r w:rsidRPr="001D6AB1">
              <w:rPr>
                <w:rFonts w:ascii="標楷體" w:eastAsia="標楷體" w:hAnsi="標楷體" w:hint="eastAsia"/>
                <w:color w:val="000000" w:themeColor="text1"/>
                <w:kern w:val="2"/>
                <w:szCs w:val="24"/>
              </w:rPr>
              <w:t>4</w:t>
            </w:r>
            <w:r w:rsidRPr="001D6AB1">
              <w:rPr>
                <w:rFonts w:ascii="標楷體" w:eastAsia="標楷體" w:hAnsi="標楷體"/>
                <w:color w:val="000000" w:themeColor="text1"/>
                <w:kern w:val="2"/>
                <w:szCs w:val="24"/>
              </w:rPr>
              <w:t>)</w:t>
            </w:r>
            <w:r w:rsidR="000C6B7B" w:rsidRPr="001D6AB1">
              <w:rPr>
                <w:rFonts w:ascii="標楷體" w:eastAsia="標楷體" w:hAnsi="標楷體"/>
                <w:color w:val="000000" w:themeColor="text1"/>
                <w:kern w:val="2"/>
                <w:szCs w:val="24"/>
              </w:rPr>
              <w:t>於身心障礙車輛免稅案件，勾稽戶政及社政交查之異常資料分批逐筆詳查，補徵6,299件，補徵稅額2,869萬元。</w:t>
            </w:r>
          </w:p>
          <w:p w:rsidR="005B786F" w:rsidRPr="001D6AB1" w:rsidRDefault="00D21780"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w:t>
            </w:r>
            <w:r w:rsidRPr="001D6AB1">
              <w:rPr>
                <w:rFonts w:ascii="標楷體" w:eastAsia="標楷體" w:hAnsi="標楷體" w:hint="eastAsia"/>
                <w:color w:val="000000" w:themeColor="text1"/>
                <w:kern w:val="2"/>
                <w:szCs w:val="24"/>
              </w:rPr>
              <w:t>5</w:t>
            </w:r>
            <w:r w:rsidRPr="001D6AB1">
              <w:rPr>
                <w:rFonts w:ascii="標楷體" w:eastAsia="標楷體" w:hAnsi="標楷體"/>
                <w:color w:val="000000" w:themeColor="text1"/>
                <w:kern w:val="2"/>
                <w:szCs w:val="24"/>
              </w:rPr>
              <w:t>)</w:t>
            </w:r>
            <w:r w:rsidR="000C6B7B" w:rsidRPr="001D6AB1">
              <w:rPr>
                <w:rFonts w:ascii="標楷體" w:eastAsia="標楷體" w:hAnsi="標楷體"/>
                <w:color w:val="000000" w:themeColor="text1"/>
                <w:kern w:val="2"/>
                <w:szCs w:val="24"/>
              </w:rPr>
              <w:t>本年對身心障礙免稅車輛共核准15,662件，免稅金額合計6,847萬元。</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2.徵收娛樂稅</w:t>
            </w: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369" w:right="119"/>
              <w:contextualSpacing/>
              <w:rPr>
                <w:color w:val="000000" w:themeColor="text1"/>
                <w:spacing w:val="-4"/>
              </w:rPr>
            </w:pPr>
            <w:r w:rsidRPr="001D6AB1">
              <w:rPr>
                <w:color w:val="000000" w:themeColor="text1"/>
                <w:spacing w:val="-4"/>
              </w:rPr>
              <w:t>112年預算數1.93億元，實徵淨額2.18億元，超徵0.25億元，預算達成率113%；較111年實徵淨額1.72億元，增加0.46億元，成長26.74%。</w:t>
            </w:r>
          </w:p>
          <w:p w:rsidR="005B786F" w:rsidRPr="001D6AB1" w:rsidRDefault="005B786F" w:rsidP="0095539C">
            <w:pPr>
              <w:spacing w:line="360" w:lineRule="exact"/>
              <w:ind w:left="372" w:right="120" w:hanging="252"/>
              <w:contextualSpacing/>
              <w:jc w:val="both"/>
              <w:rPr>
                <w:rFonts w:ascii="標楷體" w:eastAsia="標楷體" w:hAnsi="標楷體" w:cs="標楷體"/>
                <w:szCs w:val="24"/>
              </w:rPr>
            </w:pPr>
          </w:p>
          <w:p w:rsidR="005B786F" w:rsidRPr="001D6AB1" w:rsidRDefault="005B786F" w:rsidP="0095539C">
            <w:pPr>
              <w:spacing w:line="360" w:lineRule="exact"/>
              <w:ind w:left="372" w:right="120" w:hanging="252"/>
              <w:contextualSpacing/>
              <w:jc w:val="both"/>
              <w:rPr>
                <w:rFonts w:ascii="標楷體" w:eastAsia="標楷體" w:hAnsi="標楷體" w:cs="標楷體"/>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1.稅款劃解</w:t>
            </w: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369" w:right="119"/>
              <w:contextualSpacing/>
              <w:rPr>
                <w:color w:val="000000" w:themeColor="text1"/>
                <w:spacing w:val="-4"/>
              </w:rPr>
            </w:pPr>
            <w:r w:rsidRPr="001D6AB1">
              <w:rPr>
                <w:color w:val="000000" w:themeColor="text1"/>
                <w:spacing w:val="-4"/>
              </w:rPr>
              <w:t>代收稅款處於代收稅款後，透過金資流作業解繳至公庫暫收稅款專戶。在外縣市繳款者，俟外縣市稅捐稽徵機關送交之轉匯清單、彙計單、繳款書、代收外埠稅款統計表與本市解繳明細表核對無誤後，併本市稅款辦理劃解作業。</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2.欠稅清理</w:t>
            </w: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369" w:right="119"/>
              <w:contextualSpacing/>
              <w:rPr>
                <w:color w:val="000000" w:themeColor="text1"/>
                <w:spacing w:val="-4"/>
              </w:rPr>
            </w:pPr>
            <w:r w:rsidRPr="001D6AB1">
              <w:rPr>
                <w:color w:val="000000" w:themeColor="text1"/>
                <w:spacing w:val="-4"/>
              </w:rPr>
              <w:t>為加強防止新欠清理舊欠，訂定年度欠稅清理計畫確實執行，112年度計徵起舊欠(含罰鍰)</w:t>
            </w:r>
            <w:r w:rsidR="00EA7EA6" w:rsidRPr="001D6AB1">
              <w:rPr>
                <w:rFonts w:hint="eastAsia"/>
                <w:color w:val="000000" w:themeColor="text1"/>
                <w:spacing w:val="-4"/>
              </w:rPr>
              <w:t>9.88</w:t>
            </w:r>
            <w:r w:rsidRPr="001D6AB1">
              <w:rPr>
                <w:color w:val="000000" w:themeColor="text1"/>
                <w:spacing w:val="-4"/>
              </w:rPr>
              <w:t>億元。</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lastRenderedPageBreak/>
              <w:t>3.稅捐保全措施</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(1)累計欠稅達10萬元以上案件，欠稅人查有財產者，即函請地政或監理機關辦理禁止處分登記。</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(2)個人或營利事業欠稅額達到限制出境標準者，即陳報財政部轉請內政部入出國及移民署限制欠稅人出境，112年度辦理限制出境計1案。</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(3)進行滾動式保全，於各單位辦理移轉或繼承不動產查欠作業，及時輔導欠稅人繳清欠稅或聯絡欠稅權責單位辦理保全，112年度計</w:t>
            </w:r>
            <w:r w:rsidR="00EA7EA6" w:rsidRPr="001D6AB1">
              <w:rPr>
                <w:rFonts w:ascii="標楷體" w:eastAsia="標楷體" w:hAnsi="標楷體" w:hint="eastAsia"/>
                <w:color w:val="000000" w:themeColor="text1"/>
                <w:kern w:val="2"/>
                <w:szCs w:val="24"/>
              </w:rPr>
              <w:t>1,153</w:t>
            </w:r>
            <w:r w:rsidRPr="001D6AB1">
              <w:rPr>
                <w:rFonts w:ascii="標楷體" w:eastAsia="標楷體" w:hAnsi="標楷體"/>
                <w:color w:val="000000" w:themeColor="text1"/>
                <w:kern w:val="2"/>
                <w:szCs w:val="24"/>
              </w:rPr>
              <w:t>件，徵起欠稅金額</w:t>
            </w:r>
            <w:r w:rsidR="00EA7EA6" w:rsidRPr="001D6AB1">
              <w:rPr>
                <w:rFonts w:ascii="標楷體" w:eastAsia="標楷體" w:hAnsi="標楷體" w:hint="eastAsia"/>
                <w:color w:val="000000" w:themeColor="text1"/>
                <w:kern w:val="2"/>
                <w:szCs w:val="24"/>
              </w:rPr>
              <w:t>1,343</w:t>
            </w:r>
            <w:r w:rsidRPr="001D6AB1">
              <w:rPr>
                <w:rFonts w:ascii="標楷體" w:eastAsia="標楷體" w:hAnsi="標楷體"/>
                <w:color w:val="000000" w:themeColor="text1"/>
                <w:kern w:val="2"/>
                <w:szCs w:val="24"/>
              </w:rPr>
              <w:t>萬元。</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(4)為防杜欠稅人藉機脫產規避稅捐，建置「不動產移轉通報管制系統」，與高雄分署合作並專人管制，隨時掌握欠稅人所有財產移轉狀態，及時清理欠稅，112年度徵起欠稅金額146萬元。</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4.執行(債權)憑證之清查</w:t>
            </w: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369" w:right="119"/>
              <w:contextualSpacing/>
              <w:rPr>
                <w:color w:val="000000" w:themeColor="text1"/>
                <w:spacing w:val="-4"/>
              </w:rPr>
            </w:pPr>
            <w:r w:rsidRPr="001D6AB1">
              <w:rPr>
                <w:color w:val="000000" w:themeColor="text1"/>
                <w:spacing w:val="-4"/>
              </w:rPr>
              <w:t>112年度執行憑證再移送行政執行分署強制執行44,049件，金額3.25億元；徵起稅款計6,910件，金額0.46億元。</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5.欠稅移送執行</w:t>
            </w: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369" w:right="119"/>
              <w:contextualSpacing/>
              <w:rPr>
                <w:color w:val="000000" w:themeColor="text1"/>
                <w:spacing w:val="-4"/>
              </w:rPr>
            </w:pPr>
            <w:r w:rsidRPr="001D6AB1">
              <w:rPr>
                <w:color w:val="000000" w:themeColor="text1"/>
                <w:spacing w:val="-4"/>
              </w:rPr>
              <w:t>112年度滯納期滿未繳納案件移送行政執行分署強制執行計50,499件，金額3.54億元；徵起稅款計31,733件，金額2.21億元。</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6.配合行政執行分署強制執行</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(1)積極與法務部行政執行署高雄分署暨其他分署合作追查，並配合執行扣押義務人財產及查封拍賣不動產以抵償欠稅。</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(2)收取第三人扣押義務人之存款、薪資、所得等支票以解繳稅款。</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(3)112年度執行徵起共計38,643件，金額2.6</w:t>
            </w:r>
            <w:r w:rsidR="00EA7EA6" w:rsidRPr="001D6AB1">
              <w:rPr>
                <w:rFonts w:ascii="標楷體" w:eastAsia="標楷體" w:hAnsi="標楷體" w:hint="eastAsia"/>
                <w:color w:val="000000" w:themeColor="text1"/>
                <w:kern w:val="2"/>
                <w:szCs w:val="24"/>
              </w:rPr>
              <w:t>7</w:t>
            </w:r>
            <w:r w:rsidRPr="001D6AB1">
              <w:rPr>
                <w:rFonts w:ascii="標楷體" w:eastAsia="標楷體" w:hAnsi="標楷體"/>
                <w:color w:val="000000" w:themeColor="text1"/>
                <w:kern w:val="2"/>
                <w:szCs w:val="24"/>
              </w:rPr>
              <w:t>億元。</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7.申報債權參與分配</w:t>
            </w:r>
          </w:p>
          <w:p w:rsidR="005B786F" w:rsidRPr="001D6AB1" w:rsidRDefault="000C6B7B" w:rsidP="0095539C">
            <w:pPr>
              <w:spacing w:line="360" w:lineRule="exact"/>
              <w:ind w:left="372" w:right="120"/>
              <w:contextualSpacing/>
              <w:jc w:val="both"/>
              <w:rPr>
                <w:rFonts w:ascii="標楷體" w:eastAsia="標楷體" w:hAnsi="標楷體"/>
                <w:szCs w:val="24"/>
              </w:rPr>
            </w:pPr>
            <w:r w:rsidRPr="001D6AB1">
              <w:rPr>
                <w:rFonts w:ascii="標楷體" w:eastAsia="標楷體" w:hAnsi="標楷體"/>
                <w:szCs w:val="24"/>
              </w:rPr>
              <w:t>112年度法院及執行分署拍賣不動產案件之申報債權參與分配作業，已獲分配655案，解繳稅款計1.65億元。</w:t>
            </w:r>
          </w:p>
          <w:p w:rsidR="005B786F" w:rsidRPr="001D6AB1" w:rsidRDefault="005B786F" w:rsidP="0095539C">
            <w:pPr>
              <w:pStyle w:val="002-10"/>
              <w:overflowPunct w:val="0"/>
              <w:autoSpaceDE w:val="0"/>
              <w:snapToGrid/>
              <w:spacing w:line="360" w:lineRule="exact"/>
              <w:ind w:left="0" w:right="120" w:firstLine="0"/>
              <w:contextualSpacing/>
              <w:rPr>
                <w:color w:val="auto"/>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1.實施電腦線上作業及查詢</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(1)查詢國稅局租賃、執行業務資料計41,104件。</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(2)查詢戶役政資訊系統計560,597件。</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(3)查詢健保資料及勞保資料計3,874件及8,690件。</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(4)提供本市稅收快報、退稅快報資料計3,536,312件及63,864件。</w:t>
            </w:r>
          </w:p>
          <w:p w:rsidR="005B786F"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(5)查詢全國財產、綜合所得稅及營業稅等資料計259,043件、195,338件及146,449件。</w:t>
            </w:r>
          </w:p>
          <w:p w:rsidR="00D314EA" w:rsidRPr="001D6AB1" w:rsidRDefault="00D314EA"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lastRenderedPageBreak/>
              <w:t>2.持續推展稅務自動化作業</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落實稅務業務資訊化，執行各稅異動、開徵、稅款解庫、銷號、欠稅、退稅、催繳、移送執行、徵收管理、會計等全面電腦化作業，維護稅務徵收各項作業，縮短處理時間，提升行政作業效率，提供各項便捷為民服務。</w:t>
            </w:r>
          </w:p>
          <w:p w:rsidR="005B786F" w:rsidRPr="001D6AB1" w:rsidRDefault="000C6B7B" w:rsidP="00903B5A">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(2)推展財政部「稅務入口網」線上申辦與電子稅務文件計6,516件及5,586件。</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(3)推廣地方稅網路申報作業，計374,280件。</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(4)配合各稅繳款書條碼化作業，進行金融機構臨櫃代收條碼化繳款書金資流作業，加速稅款解庫、銷號速度。</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(5)推廣「欠稅影像掃描移送執行整合系統」，提升欠稅管理作業效率。</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(6)提供全國跨機關退稅、轉帳納稅、地價稅歷史等資料查詢及補發各稅繳款書、繳納證明及課稅明細表等資料計6,380件。</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(7)配合財政部財政資訊中心「賦稅資訊系統整合再造更新整體實施計畫」地方稅建置委外服務案作業，負責房屋稅、徵銷中介、銷號系統、全國財產稅總歸戶、稅務權限及帳號管理等5系統。</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(8)提供民眾至高雄市稅捐稽徵處各分處臨櫃以信用卡或行動支付繳納各項稅款、滯納金、罰鍰(含移送執行案件)與查調服務費等，計50,358件，金額4億7,802萬元。</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(9)強化便民服務，透過「一卡通MONEY」、「三段式條碼繳稅」及「LINE推播綁定繳稅訊息通知」，落實便捷創新的全方位行動繳稅服務，計33,991件，金額1億6,066餘萬元。</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3.維護資通安全</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(1)配合本府於112年度上、下半年辦理2次電子郵件社交工程演練，演練結果皆符合本府要求規定。</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(2)112年度共辦理4場實體資安教育訓練課程，以強化各級主管及同仁資安觀念及專業技能。</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(3)重要主機及全處個人電腦定期進行弱點掃瞄，檢測並修補風險漏洞，並執行對外服務系統、網路架構、惡意活檢視、目錄伺服器、防火牆連線設定之資安健診，提升資安防護能力。</w:t>
            </w:r>
          </w:p>
          <w:p w:rsidR="005B786F" w:rsidRPr="001D6AB1" w:rsidRDefault="000C6B7B" w:rsidP="0095539C">
            <w:pPr>
              <w:tabs>
                <w:tab w:val="left" w:pos="604"/>
              </w:tabs>
              <w:suppressAutoHyphens w:val="0"/>
              <w:autoSpaceDN/>
              <w:snapToGrid w:val="0"/>
              <w:spacing w:line="360" w:lineRule="exact"/>
              <w:ind w:left="743" w:rightChars="50" w:right="120" w:hanging="346"/>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 xml:space="preserve">(4)建置資訊安全管理系統 (ISMS)，落實資訊軟、硬體安全管制與維護，確保資料機密不外洩。112年度辦理2次資訊作業內部稽核及1次ISMS資訊安全內部稽核，並通過第三方亞瑞仕國際驗證股份有限公司（ARES）驗證稽核，維持ISO </w:t>
            </w:r>
            <w:r w:rsidRPr="001D6AB1">
              <w:rPr>
                <w:rFonts w:ascii="標楷體" w:eastAsia="標楷體" w:hAnsi="標楷體"/>
                <w:color w:val="000000" w:themeColor="text1"/>
                <w:kern w:val="2"/>
                <w:szCs w:val="24"/>
              </w:rPr>
              <w:lastRenderedPageBreak/>
              <w:t>27001:2013證書有效性。</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(5)為使人員遇重大災害事件可及時回復正常服務，112年度辦理3次營運持續計畫之演練，分別為公文影像主機故障、web主機故障、虛擬化系統故障演練，皆順利演練完成，以維持稅務資訊服務持續運作。</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(6)112年度如期完成資通安全責任等級分級辦法之B級機關應辦事項，以落實法遵要求事項。</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4.辦理稅款銷號作業</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(1)繳款書銷號計3,541,394件。</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(2)銷號異常案件處理計25,697件。</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(3)登錄本市無條碼繳款書計513件。</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(4)代為處理外縣市稅款資料計5件。</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5.辦公室自動化作業及資訊互動</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(1)推動辦公室自動化作業 (OA:財稅內網、公文線上簽核暨管理、公文影像暨檔案管理、電子簽核、電子公文收發、人事差假、薪資等系統)，112年公文線上簽核總計287,185件，全機關線上簽核比率達95.24%，落實無紙化政策。</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(2)推廣財稅內網便利貼功能，優化資訊傳遞提升行政效率。</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(3)推廣內網知識管理系統之應用，有利同仁熟悉各項稅務操作流程、資訊作業相關規定及充實專業知識。</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(4)為強化無紙化作業之推廣，建置表單申請系統將資訊需求、資料庫複製等資訊作業表單化並線上簽核。</w:t>
            </w:r>
          </w:p>
          <w:p w:rsidR="005B786F" w:rsidRPr="001D6AB1" w:rsidRDefault="005B786F" w:rsidP="0095539C">
            <w:pPr>
              <w:overflowPunct w:val="0"/>
              <w:autoSpaceDE w:val="0"/>
              <w:spacing w:line="360" w:lineRule="exact"/>
              <w:ind w:left="559" w:right="120" w:hanging="439"/>
              <w:contextualSpacing/>
              <w:rPr>
                <w:rFonts w:ascii="標楷體" w:eastAsia="標楷體" w:hAnsi="標楷體"/>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1.審慎處理違章案件，以確保受處分人權益及維護租稅公平</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(1)違章案件均由審理人員充分審視違章證據，並依證據法則認定事實，依法審慎處理，以減少受處分人對違章裁罰疑慮及疏解訟源。112年度受理違章案件7,079件，已審理結案7,079件，辦結率100%。</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(2)對審理確定之違章案件均作成審查報告書及裁處書，層轉審核；另對於簡易違章案件，以裁處書兼代審查報告書，提升行政效率。</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(3)漏稅額在20萬元以上已達審議標準</w:t>
            </w:r>
            <w:r w:rsidR="00227266" w:rsidRPr="001D6AB1">
              <w:rPr>
                <w:rFonts w:ascii="標楷體" w:eastAsia="標楷體" w:hAnsi="標楷體" w:hint="eastAsia"/>
                <w:color w:val="000000" w:themeColor="text1"/>
                <w:kern w:val="2"/>
                <w:szCs w:val="24"/>
              </w:rPr>
              <w:t>(</w:t>
            </w:r>
            <w:r w:rsidRPr="001D6AB1">
              <w:rPr>
                <w:rFonts w:ascii="標楷體" w:eastAsia="標楷體" w:hAnsi="標楷體"/>
                <w:color w:val="000000" w:themeColor="text1"/>
                <w:kern w:val="2"/>
                <w:szCs w:val="24"/>
              </w:rPr>
              <w:t>使用牌照稅案件除外</w:t>
            </w:r>
            <w:r w:rsidR="00227266" w:rsidRPr="001D6AB1">
              <w:rPr>
                <w:rFonts w:ascii="標楷體" w:eastAsia="標楷體" w:hAnsi="標楷體" w:hint="eastAsia"/>
                <w:color w:val="000000" w:themeColor="text1"/>
                <w:kern w:val="2"/>
                <w:szCs w:val="24"/>
              </w:rPr>
              <w:t>)</w:t>
            </w:r>
            <w:r w:rsidRPr="001D6AB1">
              <w:rPr>
                <w:rFonts w:ascii="標楷體" w:eastAsia="標楷體" w:hAnsi="標楷體"/>
                <w:color w:val="000000" w:themeColor="text1"/>
                <w:kern w:val="2"/>
                <w:szCs w:val="24"/>
              </w:rPr>
              <w:t>之違章案件，均提送裁罰審議小組審議，並按審議決定製作裁處書。112年度無適用前開裁罰審議小組審議之案件。</w:t>
            </w:r>
          </w:p>
          <w:p w:rsidR="005B786F"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2.加強違章罰鍰案件之送達催繳及移送行政執行分署強制執行，以提高罰鍰徵起績效。112年度違章罰鍰繳納件數計6,740件，罰鍰實徵淨額計3,021萬元。</w:t>
            </w:r>
          </w:p>
          <w:p w:rsidR="00D314EA" w:rsidRPr="001D6AB1" w:rsidRDefault="00D314EA"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lastRenderedPageBreak/>
              <w:t>3.審慎辦理行政救濟案件，以維護納稅人權益</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(1)112年度受理復查案計59件，已作成復查決定書計19件。</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(2)112年度提起訴願案計24件，提起行政訴訟案(含上訴審)計5件。</w:t>
            </w:r>
          </w:p>
          <w:p w:rsidR="005B786F" w:rsidRPr="001D6AB1" w:rsidRDefault="000C6B7B" w:rsidP="0095539C">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(3)復查案件經輔導溝通後，主動撤回復查申請者計40件。因重行審酌事證後，改按一般案件處理者，計3件。</w:t>
            </w:r>
          </w:p>
          <w:p w:rsidR="005B786F" w:rsidRPr="001D6AB1" w:rsidRDefault="000C6B7B" w:rsidP="0095539C">
            <w:pPr>
              <w:suppressAutoHyphens w:val="0"/>
              <w:autoSpaceDN/>
              <w:spacing w:line="360" w:lineRule="exact"/>
              <w:ind w:leftChars="50" w:left="360" w:rightChars="50" w:right="120" w:hangingChars="100" w:hanging="240"/>
              <w:contextualSpacing/>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4.妥慎受理、列管民眾檢舉逃漏稅案件</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(1)檢舉案件均由專人管制並以密件處理，檢舉人身分資料由專人登記彌封後，再派由承辦人辦理查核，確保檢舉人之權益。</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(2)112年度受理檢舉案件計138件，涉及其他機關應行辦理事項或屬國稅業務者，依規定通報或移送相關單位辦理計45件，有關檢舉地方稅部分，均依相關規定辦理，並將辦理結果函復檢舉人。</w:t>
            </w:r>
          </w:p>
          <w:p w:rsidR="005B786F" w:rsidRPr="001D6AB1" w:rsidRDefault="000C6B7B" w:rsidP="0095539C">
            <w:pPr>
              <w:tabs>
                <w:tab w:val="left" w:pos="604"/>
              </w:tabs>
              <w:suppressAutoHyphens w:val="0"/>
              <w:autoSpaceDN/>
              <w:snapToGrid w:val="0"/>
              <w:spacing w:line="360" w:lineRule="exact"/>
              <w:ind w:left="771" w:rightChars="50" w:right="120" w:hanging="374"/>
              <w:jc w:val="both"/>
              <w:textAlignment w:val="auto"/>
              <w:rPr>
                <w:rFonts w:ascii="標楷體" w:eastAsia="標楷體" w:hAnsi="標楷體"/>
                <w:color w:val="000000" w:themeColor="text1"/>
                <w:kern w:val="2"/>
                <w:szCs w:val="24"/>
              </w:rPr>
            </w:pPr>
            <w:r w:rsidRPr="001D6AB1">
              <w:rPr>
                <w:rFonts w:ascii="標楷體" w:eastAsia="標楷體" w:hAnsi="標楷體"/>
                <w:color w:val="000000" w:themeColor="text1"/>
                <w:kern w:val="2"/>
                <w:szCs w:val="24"/>
              </w:rPr>
              <w:t>(3)112年度經檢舉而查獲違章漏稅者計1</w:t>
            </w:r>
            <w:r w:rsidR="00EA7EA6" w:rsidRPr="001D6AB1">
              <w:rPr>
                <w:rFonts w:ascii="標楷體" w:eastAsia="標楷體" w:hAnsi="標楷體" w:hint="eastAsia"/>
                <w:color w:val="000000" w:themeColor="text1"/>
                <w:kern w:val="2"/>
                <w:szCs w:val="24"/>
              </w:rPr>
              <w:t>2</w:t>
            </w:r>
            <w:r w:rsidRPr="001D6AB1">
              <w:rPr>
                <w:rFonts w:ascii="標楷體" w:eastAsia="標楷體" w:hAnsi="標楷體"/>
                <w:color w:val="000000" w:themeColor="text1"/>
                <w:kern w:val="2"/>
                <w:szCs w:val="24"/>
              </w:rPr>
              <w:t>案，核定補徵稅額計55.</w:t>
            </w:r>
            <w:r w:rsidR="00EA7EA6" w:rsidRPr="001D6AB1">
              <w:rPr>
                <w:rFonts w:ascii="標楷體" w:eastAsia="標楷體" w:hAnsi="標楷體" w:hint="eastAsia"/>
                <w:color w:val="000000" w:themeColor="text1"/>
                <w:kern w:val="2"/>
                <w:szCs w:val="24"/>
              </w:rPr>
              <w:t>1</w:t>
            </w:r>
            <w:r w:rsidRPr="001D6AB1">
              <w:rPr>
                <w:rFonts w:ascii="標楷體" w:eastAsia="標楷體" w:hAnsi="標楷體"/>
                <w:color w:val="000000" w:themeColor="text1"/>
                <w:kern w:val="2"/>
                <w:szCs w:val="24"/>
              </w:rPr>
              <w:t>萬元及裁處罰鍰計20.9萬元。</w:t>
            </w:r>
          </w:p>
          <w:p w:rsidR="005B786F" w:rsidRPr="001D6AB1" w:rsidRDefault="005B786F" w:rsidP="0095539C">
            <w:pPr>
              <w:overflowPunct w:val="0"/>
              <w:autoSpaceDE w:val="0"/>
              <w:spacing w:line="360" w:lineRule="exact"/>
              <w:ind w:left="579" w:right="120" w:hanging="459"/>
              <w:contextualSpacing/>
              <w:jc w:val="both"/>
              <w:rPr>
                <w:rFonts w:ascii="標楷體" w:eastAsia="標楷體" w:hAnsi="標楷體"/>
                <w:szCs w:val="24"/>
              </w:rPr>
            </w:pPr>
          </w:p>
          <w:p w:rsidR="005B786F" w:rsidRPr="001D6AB1" w:rsidRDefault="000C6B7B" w:rsidP="0095539C">
            <w:pPr>
              <w:pStyle w:val="af6"/>
              <w:pBdr>
                <w:top w:val="none" w:sz="0" w:space="0" w:color="auto"/>
                <w:left w:val="none" w:sz="0" w:space="0" w:color="auto"/>
                <w:bottom w:val="none" w:sz="0" w:space="0" w:color="auto"/>
                <w:right w:val="none" w:sz="0" w:space="0" w:color="auto"/>
              </w:pBdr>
              <w:snapToGrid/>
              <w:spacing w:line="360" w:lineRule="exact"/>
              <w:ind w:leftChars="50" w:left="120" w:right="119"/>
              <w:contextualSpacing/>
            </w:pPr>
            <w:r w:rsidRPr="001D6AB1">
              <w:t>財政局及所屬高雄市稅捐稽徵處、動產質借所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tc>
      </w:tr>
    </w:tbl>
    <w:p w:rsidR="005B786F" w:rsidRPr="00615C09" w:rsidRDefault="005B786F">
      <w:pPr>
        <w:overflowPunct w:val="0"/>
        <w:autoSpaceDE w:val="0"/>
      </w:pPr>
    </w:p>
    <w:sectPr w:rsidR="005B786F" w:rsidRPr="00615C09" w:rsidSect="007D7E98">
      <w:footerReference w:type="default" r:id="rId9"/>
      <w:pgSz w:w="11906" w:h="16838"/>
      <w:pgMar w:top="964" w:right="992" w:bottom="1134" w:left="992" w:header="851" w:footer="510" w:gutter="0"/>
      <w:pgNumType w:start="44"/>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FE" w:rsidRDefault="00E81EFE">
      <w:r>
        <w:separator/>
      </w:r>
    </w:p>
  </w:endnote>
  <w:endnote w:type="continuationSeparator" w:id="0">
    <w:p w:rsidR="00E81EFE" w:rsidRDefault="00E8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超研澤粗黑">
    <w:panose1 w:val="020B0609010101010101"/>
    <w:charset w:val="88"/>
    <w:family w:val="modern"/>
    <w:pitch w:val="fixed"/>
    <w:sig w:usb0="00000F41" w:usb1="280918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FA" w:rsidRPr="00E54EDC" w:rsidRDefault="00BD73FA">
    <w:pPr>
      <w:pStyle w:val="a6"/>
      <w:jc w:val="center"/>
      <w:rPr>
        <w:rFonts w:ascii="Times New Roman" w:hAnsi="Times New Roman"/>
      </w:rPr>
    </w:pPr>
    <w:r w:rsidRPr="00E54EDC">
      <w:rPr>
        <w:rFonts w:ascii="Times New Roman" w:hAnsi="Times New Roman"/>
        <w:lang w:val="zh-TW"/>
      </w:rPr>
      <w:fldChar w:fldCharType="begin"/>
    </w:r>
    <w:r w:rsidRPr="00E54EDC">
      <w:rPr>
        <w:rFonts w:ascii="Times New Roman" w:hAnsi="Times New Roman"/>
        <w:lang w:val="zh-TW"/>
      </w:rPr>
      <w:instrText xml:space="preserve"> PAGE </w:instrText>
    </w:r>
    <w:r w:rsidRPr="00E54EDC">
      <w:rPr>
        <w:rFonts w:ascii="Times New Roman" w:hAnsi="Times New Roman"/>
        <w:lang w:val="zh-TW"/>
      </w:rPr>
      <w:fldChar w:fldCharType="separate"/>
    </w:r>
    <w:r w:rsidR="00031569">
      <w:rPr>
        <w:rFonts w:ascii="Times New Roman" w:hAnsi="Times New Roman"/>
        <w:noProof/>
        <w:lang w:val="zh-TW"/>
      </w:rPr>
      <w:t>46</w:t>
    </w:r>
    <w:r w:rsidRPr="00E54EDC">
      <w:rPr>
        <w:rFonts w:ascii="Times New Roman" w:hAnsi="Times New Roman"/>
        <w:lang w:val="zh-TW"/>
      </w:rPr>
      <w:fldChar w:fldCharType="end"/>
    </w:r>
  </w:p>
  <w:p w:rsidR="00BD73FA" w:rsidRDefault="00BD73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FE" w:rsidRDefault="00E81EFE">
      <w:r>
        <w:rPr>
          <w:color w:val="000000"/>
        </w:rPr>
        <w:separator/>
      </w:r>
    </w:p>
  </w:footnote>
  <w:footnote w:type="continuationSeparator" w:id="0">
    <w:p w:rsidR="00E81EFE" w:rsidRDefault="00E81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C1"/>
    <w:multiLevelType w:val="multilevel"/>
    <w:tmpl w:val="30B4EBA2"/>
    <w:lvl w:ilvl="0">
      <w:start w:val="1"/>
      <w:numFmt w:val="decimal"/>
      <w:lvlText w:val="(%1)"/>
      <w:lvlJc w:val="left"/>
      <w:pPr>
        <w:ind w:left="711" w:hanging="360"/>
      </w:pPr>
    </w:lvl>
    <w:lvl w:ilvl="1">
      <w:start w:val="1"/>
      <w:numFmt w:val="ideographTraditional"/>
      <w:lvlText w:val="%2、"/>
      <w:lvlJc w:val="left"/>
      <w:pPr>
        <w:ind w:left="1311" w:hanging="480"/>
      </w:pPr>
    </w:lvl>
    <w:lvl w:ilvl="2">
      <w:start w:val="1"/>
      <w:numFmt w:val="lowerRoman"/>
      <w:lvlText w:val="%3."/>
      <w:lvlJc w:val="right"/>
      <w:pPr>
        <w:ind w:left="1791" w:hanging="480"/>
      </w:pPr>
    </w:lvl>
    <w:lvl w:ilvl="3">
      <w:start w:val="1"/>
      <w:numFmt w:val="decimal"/>
      <w:lvlText w:val="%4."/>
      <w:lvlJc w:val="left"/>
      <w:pPr>
        <w:ind w:left="2271" w:hanging="480"/>
      </w:pPr>
    </w:lvl>
    <w:lvl w:ilvl="4">
      <w:start w:val="1"/>
      <w:numFmt w:val="ideographTraditional"/>
      <w:lvlText w:val="%5、"/>
      <w:lvlJc w:val="left"/>
      <w:pPr>
        <w:ind w:left="2751" w:hanging="480"/>
      </w:pPr>
    </w:lvl>
    <w:lvl w:ilvl="5">
      <w:start w:val="1"/>
      <w:numFmt w:val="lowerRoman"/>
      <w:lvlText w:val="%6."/>
      <w:lvlJc w:val="right"/>
      <w:pPr>
        <w:ind w:left="3231" w:hanging="480"/>
      </w:pPr>
    </w:lvl>
    <w:lvl w:ilvl="6">
      <w:start w:val="1"/>
      <w:numFmt w:val="decimal"/>
      <w:lvlText w:val="%7."/>
      <w:lvlJc w:val="left"/>
      <w:pPr>
        <w:ind w:left="3711" w:hanging="480"/>
      </w:pPr>
    </w:lvl>
    <w:lvl w:ilvl="7">
      <w:start w:val="1"/>
      <w:numFmt w:val="ideographTraditional"/>
      <w:lvlText w:val="%8、"/>
      <w:lvlJc w:val="left"/>
      <w:pPr>
        <w:ind w:left="4191" w:hanging="480"/>
      </w:pPr>
    </w:lvl>
    <w:lvl w:ilvl="8">
      <w:start w:val="1"/>
      <w:numFmt w:val="lowerRoman"/>
      <w:lvlText w:val="%9."/>
      <w:lvlJc w:val="right"/>
      <w:pPr>
        <w:ind w:left="4671" w:hanging="480"/>
      </w:pPr>
    </w:lvl>
  </w:abstractNum>
  <w:abstractNum w:abstractNumId="1">
    <w:nsid w:val="2AFA731C"/>
    <w:multiLevelType w:val="multilevel"/>
    <w:tmpl w:val="79BA4432"/>
    <w:lvl w:ilvl="0">
      <w:start w:val="1"/>
      <w:numFmt w:val="decimal"/>
      <w:lvlText w:val="%1."/>
      <w:lvlJc w:val="left"/>
      <w:pPr>
        <w:ind w:left="428" w:hanging="360"/>
      </w:pPr>
      <w:rPr>
        <w:color w:val="000000"/>
      </w:rPr>
    </w:lvl>
    <w:lvl w:ilvl="1">
      <w:start w:val="1"/>
      <w:numFmt w:val="decimal"/>
      <w:lvlText w:val="(%2)"/>
      <w:lvlJc w:val="left"/>
      <w:pPr>
        <w:ind w:left="908" w:hanging="360"/>
      </w:pPr>
      <w:rPr>
        <w:color w:val="auto"/>
      </w:rPr>
    </w:lvl>
    <w:lvl w:ilvl="2">
      <w:start w:val="1"/>
      <w:numFmt w:val="lowerRoman"/>
      <w:lvlText w:val="%3."/>
      <w:lvlJc w:val="right"/>
      <w:pPr>
        <w:ind w:left="1508" w:hanging="480"/>
      </w:pPr>
    </w:lvl>
    <w:lvl w:ilvl="3">
      <w:start w:val="1"/>
      <w:numFmt w:val="decimal"/>
      <w:lvlText w:val="%4."/>
      <w:lvlJc w:val="left"/>
      <w:pPr>
        <w:ind w:left="1988" w:hanging="480"/>
      </w:pPr>
    </w:lvl>
    <w:lvl w:ilvl="4">
      <w:start w:val="1"/>
      <w:numFmt w:val="ideographTraditional"/>
      <w:lvlText w:val="%5、"/>
      <w:lvlJc w:val="left"/>
      <w:pPr>
        <w:ind w:left="2468" w:hanging="480"/>
      </w:pPr>
    </w:lvl>
    <w:lvl w:ilvl="5">
      <w:start w:val="1"/>
      <w:numFmt w:val="lowerRoman"/>
      <w:lvlText w:val="%6."/>
      <w:lvlJc w:val="right"/>
      <w:pPr>
        <w:ind w:left="2948" w:hanging="480"/>
      </w:pPr>
    </w:lvl>
    <w:lvl w:ilvl="6">
      <w:start w:val="1"/>
      <w:numFmt w:val="decimal"/>
      <w:lvlText w:val="%7."/>
      <w:lvlJc w:val="left"/>
      <w:pPr>
        <w:ind w:left="3428" w:hanging="480"/>
      </w:pPr>
    </w:lvl>
    <w:lvl w:ilvl="7">
      <w:start w:val="1"/>
      <w:numFmt w:val="ideographTraditional"/>
      <w:lvlText w:val="%8、"/>
      <w:lvlJc w:val="left"/>
      <w:pPr>
        <w:ind w:left="3908" w:hanging="480"/>
      </w:pPr>
    </w:lvl>
    <w:lvl w:ilvl="8">
      <w:start w:val="1"/>
      <w:numFmt w:val="lowerRoman"/>
      <w:lvlText w:val="%9."/>
      <w:lvlJc w:val="right"/>
      <w:pPr>
        <w:ind w:left="4388" w:hanging="480"/>
      </w:pPr>
    </w:lvl>
  </w:abstractNum>
  <w:abstractNum w:abstractNumId="2">
    <w:nsid w:val="45C14969"/>
    <w:multiLevelType w:val="multilevel"/>
    <w:tmpl w:val="02561C56"/>
    <w:styleLink w:val="LFO2"/>
    <w:lvl w:ilvl="0">
      <w:start w:val="1"/>
      <w:numFmt w:val="decimal"/>
      <w:pStyle w:val="a"/>
      <w:lvlText w:val="(%1)"/>
      <w:lvlJc w:val="left"/>
      <w:pPr>
        <w:ind w:left="757" w:hanging="397"/>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
    <w:nsid w:val="65604EBD"/>
    <w:multiLevelType w:val="multilevel"/>
    <w:tmpl w:val="F90E1E62"/>
    <w:lvl w:ilvl="0">
      <w:start w:val="1"/>
      <w:numFmt w:val="decimal"/>
      <w:lvlText w:val="%1."/>
      <w:lvlJc w:val="left"/>
      <w:pPr>
        <w:ind w:left="480" w:hanging="36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drawingGridHorizontalSpacing w:val="120"/>
  <w:drawingGridVerticalSpacing w:val="19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B786F"/>
    <w:rsid w:val="00001B4D"/>
    <w:rsid w:val="00031569"/>
    <w:rsid w:val="00076BCB"/>
    <w:rsid w:val="000A7C00"/>
    <w:rsid w:val="000B3649"/>
    <w:rsid w:val="000C6B7B"/>
    <w:rsid w:val="00105273"/>
    <w:rsid w:val="00112A7C"/>
    <w:rsid w:val="00134035"/>
    <w:rsid w:val="001D6AB1"/>
    <w:rsid w:val="002032A9"/>
    <w:rsid w:val="00212FD4"/>
    <w:rsid w:val="00227266"/>
    <w:rsid w:val="00234634"/>
    <w:rsid w:val="00242146"/>
    <w:rsid w:val="0025273B"/>
    <w:rsid w:val="00276CDA"/>
    <w:rsid w:val="002E1800"/>
    <w:rsid w:val="002F776C"/>
    <w:rsid w:val="00392BB9"/>
    <w:rsid w:val="003F21A1"/>
    <w:rsid w:val="003F3841"/>
    <w:rsid w:val="00404B8C"/>
    <w:rsid w:val="00436B79"/>
    <w:rsid w:val="00484237"/>
    <w:rsid w:val="004C1401"/>
    <w:rsid w:val="004E6799"/>
    <w:rsid w:val="00525444"/>
    <w:rsid w:val="005B786F"/>
    <w:rsid w:val="00615C09"/>
    <w:rsid w:val="006177D2"/>
    <w:rsid w:val="00635FC5"/>
    <w:rsid w:val="00664DBD"/>
    <w:rsid w:val="006A0A81"/>
    <w:rsid w:val="006A423C"/>
    <w:rsid w:val="006E6A38"/>
    <w:rsid w:val="00746371"/>
    <w:rsid w:val="00773015"/>
    <w:rsid w:val="00780160"/>
    <w:rsid w:val="007D7E98"/>
    <w:rsid w:val="007E5331"/>
    <w:rsid w:val="008364EC"/>
    <w:rsid w:val="008605F4"/>
    <w:rsid w:val="00893933"/>
    <w:rsid w:val="00897C1D"/>
    <w:rsid w:val="008C53B9"/>
    <w:rsid w:val="00903B5A"/>
    <w:rsid w:val="0095539C"/>
    <w:rsid w:val="00987D86"/>
    <w:rsid w:val="009B537D"/>
    <w:rsid w:val="009D276A"/>
    <w:rsid w:val="009F658D"/>
    <w:rsid w:val="00A049A4"/>
    <w:rsid w:val="00A24C1F"/>
    <w:rsid w:val="00A42CB6"/>
    <w:rsid w:val="00A650BE"/>
    <w:rsid w:val="00AB74A6"/>
    <w:rsid w:val="00AB7E90"/>
    <w:rsid w:val="00AC3EEC"/>
    <w:rsid w:val="00AF0F6E"/>
    <w:rsid w:val="00B55320"/>
    <w:rsid w:val="00BB2915"/>
    <w:rsid w:val="00BD73FA"/>
    <w:rsid w:val="00C85297"/>
    <w:rsid w:val="00CB0F84"/>
    <w:rsid w:val="00CC7306"/>
    <w:rsid w:val="00D21780"/>
    <w:rsid w:val="00D314EA"/>
    <w:rsid w:val="00D545F5"/>
    <w:rsid w:val="00D62001"/>
    <w:rsid w:val="00DD69D5"/>
    <w:rsid w:val="00E54EDC"/>
    <w:rsid w:val="00E81EFE"/>
    <w:rsid w:val="00E91620"/>
    <w:rsid w:val="00EA7EA6"/>
    <w:rsid w:val="00EE06B2"/>
    <w:rsid w:val="00F27408"/>
    <w:rsid w:val="00F6211E"/>
    <w:rsid w:val="00F9771C"/>
    <w:rsid w:val="00FB7E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paragraph" w:styleId="3">
    <w:name w:val="heading 3"/>
    <w:basedOn w:val="a0"/>
    <w:next w:val="a0"/>
    <w:pPr>
      <w:keepNext/>
      <w:spacing w:line="720" w:lineRule="auto"/>
      <w:ind w:left="50" w:right="50"/>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customStyle="1" w:styleId="30">
    <w:name w:val="標題 3 字元"/>
    <w:basedOn w:val="a1"/>
    <w:rPr>
      <w:rFonts w:ascii="Arial" w:eastAsia="新細明體" w:hAnsi="Arial" w:cs="Times New Roman"/>
      <w:b/>
      <w:bCs/>
      <w:sz w:val="36"/>
      <w:szCs w:val="36"/>
    </w:rPr>
  </w:style>
  <w:style w:type="paragraph" w:customStyle="1" w:styleId="000-">
    <w:name w:val="000-單位標"/>
    <w:basedOn w:val="a0"/>
    <w:pPr>
      <w:tabs>
        <w:tab w:val="left" w:pos="3686"/>
      </w:tabs>
      <w:snapToGrid w:val="0"/>
      <w:spacing w:before="50" w:after="50" w:line="280" w:lineRule="exact"/>
      <w:ind w:left="30" w:right="30"/>
      <w:jc w:val="center"/>
    </w:pPr>
    <w:rPr>
      <w:rFonts w:ascii="標楷體" w:eastAsia="標楷體" w:hAnsi="標楷體"/>
      <w:b/>
      <w:color w:val="000000"/>
      <w:sz w:val="36"/>
      <w:szCs w:val="36"/>
    </w:rPr>
  </w:style>
  <w:style w:type="paragraph" w:customStyle="1" w:styleId="001-">
    <w:name w:val="001-(一)"/>
    <w:basedOn w:val="a0"/>
    <w:pPr>
      <w:snapToGrid w:val="0"/>
      <w:spacing w:line="320" w:lineRule="exact"/>
      <w:ind w:left="350" w:right="50" w:hanging="200"/>
      <w:jc w:val="both"/>
    </w:pPr>
    <w:rPr>
      <w:rFonts w:ascii="標楷體" w:eastAsia="標楷體" w:hAnsi="標楷體"/>
      <w:szCs w:val="24"/>
    </w:rPr>
  </w:style>
  <w:style w:type="paragraph" w:customStyle="1" w:styleId="001-0">
    <w:name w:val="001-一"/>
    <w:basedOn w:val="a0"/>
    <w:pPr>
      <w:snapToGrid w:val="0"/>
      <w:spacing w:line="320" w:lineRule="exact"/>
      <w:ind w:left="300" w:right="50" w:hanging="200"/>
      <w:jc w:val="both"/>
    </w:pPr>
    <w:rPr>
      <w:rFonts w:ascii="標楷體" w:eastAsia="標楷體" w:hAnsi="標楷體"/>
      <w:szCs w:val="24"/>
    </w:rPr>
  </w:style>
  <w:style w:type="paragraph" w:customStyle="1" w:styleId="001-1">
    <w:name w:val="001-壹"/>
    <w:basedOn w:val="a0"/>
    <w:pPr>
      <w:snapToGrid w:val="0"/>
      <w:spacing w:line="320" w:lineRule="exact"/>
      <w:ind w:left="250" w:right="50" w:hanging="200"/>
      <w:jc w:val="both"/>
    </w:pPr>
    <w:rPr>
      <w:rFonts w:ascii="標楷體" w:eastAsia="標楷體" w:hAnsi="標楷體"/>
      <w:b/>
      <w:szCs w:val="24"/>
    </w:rPr>
  </w:style>
  <w:style w:type="paragraph" w:customStyle="1" w:styleId="002-1">
    <w:name w:val="002-(1)"/>
    <w:basedOn w:val="a0"/>
    <w:pPr>
      <w:snapToGrid w:val="0"/>
      <w:spacing w:line="320" w:lineRule="exact"/>
      <w:ind w:left="300" w:right="50" w:hanging="150"/>
      <w:jc w:val="both"/>
    </w:pPr>
    <w:rPr>
      <w:rFonts w:ascii="標楷體" w:eastAsia="標楷體" w:hAnsi="標楷體"/>
      <w:color w:val="000000"/>
      <w:szCs w:val="28"/>
    </w:rPr>
  </w:style>
  <w:style w:type="paragraph" w:customStyle="1" w:styleId="002-10">
    <w:name w:val="002-1."/>
    <w:basedOn w:val="a0"/>
    <w:pPr>
      <w:snapToGrid w:val="0"/>
      <w:spacing w:line="320" w:lineRule="exact"/>
      <w:ind w:left="370" w:right="130" w:hanging="240"/>
      <w:jc w:val="both"/>
    </w:pPr>
    <w:rPr>
      <w:rFonts w:ascii="標楷體" w:eastAsia="標楷體" w:hAnsi="標楷體"/>
      <w:color w:val="000000"/>
      <w:szCs w:val="28"/>
    </w:rPr>
  </w:style>
  <w:style w:type="paragraph" w:customStyle="1" w:styleId="002-11">
    <w:name w:val="002-1.文"/>
    <w:basedOn w:val="a0"/>
    <w:pPr>
      <w:snapToGrid w:val="0"/>
      <w:spacing w:line="320" w:lineRule="exact"/>
      <w:ind w:left="390" w:right="130"/>
      <w:jc w:val="both"/>
    </w:pPr>
    <w:rPr>
      <w:rFonts w:ascii="標楷體" w:eastAsia="標楷體" w:hAnsi="標楷體"/>
      <w:szCs w:val="24"/>
    </w:rPr>
  </w:style>
  <w:style w:type="paragraph" w:customStyle="1" w:styleId="002-12">
    <w:name w:val="002-1.標"/>
    <w:basedOn w:val="a0"/>
    <w:pPr>
      <w:snapToGrid w:val="0"/>
      <w:spacing w:line="320" w:lineRule="exact"/>
      <w:ind w:left="370" w:right="130" w:hanging="240"/>
      <w:jc w:val="both"/>
    </w:pPr>
    <w:rPr>
      <w:rFonts w:ascii="標楷體" w:eastAsia="標楷體" w:hAnsi="標楷體"/>
      <w:b/>
      <w:szCs w:val="24"/>
    </w:rPr>
  </w:style>
  <w:style w:type="paragraph" w:customStyle="1" w:styleId="002A-1">
    <w:name w:val="002A-(1)"/>
    <w:basedOn w:val="a0"/>
    <w:pPr>
      <w:snapToGrid w:val="0"/>
      <w:spacing w:line="320" w:lineRule="exact"/>
      <w:ind w:left="400" w:right="50" w:hanging="150"/>
      <w:jc w:val="both"/>
    </w:pPr>
    <w:rPr>
      <w:rFonts w:ascii="標楷體" w:eastAsia="標楷體" w:hAnsi="標楷體"/>
      <w:bCs/>
      <w:szCs w:val="24"/>
    </w:rPr>
  </w:style>
  <w:style w:type="paragraph" w:customStyle="1" w:styleId="002A-">
    <w:name w:val="002A-(一)"/>
    <w:basedOn w:val="a0"/>
    <w:pPr>
      <w:tabs>
        <w:tab w:val="left" w:pos="4170"/>
      </w:tabs>
      <w:snapToGrid w:val="0"/>
      <w:spacing w:line="320" w:lineRule="exact"/>
      <w:ind w:left="250" w:right="50" w:hanging="200"/>
      <w:jc w:val="both"/>
    </w:pPr>
    <w:rPr>
      <w:rFonts w:ascii="標楷體" w:eastAsia="標楷體" w:hAnsi="標楷體"/>
      <w:szCs w:val="24"/>
    </w:rPr>
  </w:style>
  <w:style w:type="character" w:customStyle="1" w:styleId="002A-0">
    <w:name w:val="002A-(一) 字元"/>
    <w:rPr>
      <w:rFonts w:ascii="標楷體" w:eastAsia="標楷體" w:hAnsi="標楷體" w:cs="Times New Roman"/>
      <w:szCs w:val="24"/>
    </w:rPr>
  </w:style>
  <w:style w:type="paragraph" w:customStyle="1" w:styleId="002A-2">
    <w:name w:val="002A-(一)文"/>
    <w:basedOn w:val="a0"/>
    <w:pPr>
      <w:snapToGrid w:val="0"/>
      <w:spacing w:line="320" w:lineRule="exact"/>
      <w:ind w:left="250" w:right="50"/>
      <w:jc w:val="both"/>
    </w:pPr>
    <w:rPr>
      <w:rFonts w:ascii="標楷體" w:eastAsia="標楷體" w:hAnsi="標楷體"/>
      <w:szCs w:val="24"/>
    </w:rPr>
  </w:style>
  <w:style w:type="paragraph" w:customStyle="1" w:styleId="002A-10">
    <w:name w:val="002A-1."/>
    <w:basedOn w:val="a0"/>
    <w:pPr>
      <w:snapToGrid w:val="0"/>
      <w:spacing w:line="320" w:lineRule="exact"/>
      <w:ind w:left="250" w:right="50" w:hanging="100"/>
      <w:jc w:val="both"/>
    </w:pPr>
    <w:rPr>
      <w:rFonts w:ascii="標楷體" w:eastAsia="標楷體" w:hAnsi="標楷體"/>
      <w:color w:val="000000"/>
      <w:szCs w:val="24"/>
    </w:rPr>
  </w:style>
  <w:style w:type="paragraph" w:customStyle="1" w:styleId="002A-11">
    <w:name w:val="002A-1.文"/>
    <w:basedOn w:val="002A-10"/>
    <w:pPr>
      <w:ind w:firstLine="0"/>
    </w:pPr>
  </w:style>
  <w:style w:type="paragraph" w:customStyle="1" w:styleId="002-">
    <w:name w:val="002-文"/>
    <w:basedOn w:val="a0"/>
    <w:pPr>
      <w:snapToGrid w:val="0"/>
      <w:spacing w:line="320" w:lineRule="exact"/>
      <w:ind w:left="130" w:right="130"/>
      <w:jc w:val="both"/>
    </w:pPr>
    <w:rPr>
      <w:rFonts w:ascii="標楷體" w:eastAsia="標楷體" w:hAnsi="標楷體"/>
      <w:color w:val="000000"/>
      <w:szCs w:val="24"/>
    </w:rPr>
  </w:style>
  <w:style w:type="paragraph" w:customStyle="1" w:styleId="a8">
    <w:name w:val="表文"/>
    <w:basedOn w:val="a0"/>
    <w:pPr>
      <w:snapToGrid w:val="0"/>
      <w:spacing w:line="240" w:lineRule="exact"/>
      <w:jc w:val="center"/>
    </w:pPr>
    <w:rPr>
      <w:rFonts w:ascii="標楷體" w:eastAsia="標楷體" w:hAnsi="標楷體"/>
      <w:szCs w:val="24"/>
    </w:rPr>
  </w:style>
  <w:style w:type="paragraph" w:customStyle="1" w:styleId="a9">
    <w:name w:val="表左"/>
    <w:basedOn w:val="a0"/>
    <w:pPr>
      <w:spacing w:line="283" w:lineRule="exact"/>
      <w:ind w:left="57" w:right="57"/>
      <w:jc w:val="both"/>
    </w:pPr>
    <w:rPr>
      <w:rFonts w:ascii="Times New Roman" w:hAnsi="Times New Roman"/>
      <w:sz w:val="20"/>
      <w:szCs w:val="24"/>
    </w:rPr>
  </w:style>
  <w:style w:type="paragraph" w:customStyle="1" w:styleId="1">
    <w:name w:val="表左1."/>
    <w:basedOn w:val="a0"/>
    <w:pPr>
      <w:spacing w:line="283" w:lineRule="exact"/>
      <w:ind w:left="241" w:right="31" w:hanging="210"/>
      <w:jc w:val="both"/>
    </w:pPr>
    <w:rPr>
      <w:rFonts w:ascii="Times New Roman" w:hAnsi="Times New Roman"/>
      <w:sz w:val="21"/>
      <w:szCs w:val="24"/>
    </w:rPr>
  </w:style>
  <w:style w:type="character" w:styleId="aa">
    <w:name w:val="page number"/>
    <w:basedOn w:val="a1"/>
  </w:style>
  <w:style w:type="paragraph" w:customStyle="1" w:styleId="ab">
    <w:name w:val="最後空格"/>
    <w:basedOn w:val="a0"/>
    <w:pPr>
      <w:snapToGrid w:val="0"/>
      <w:spacing w:line="20" w:lineRule="exact"/>
      <w:ind w:left="50" w:right="50"/>
      <w:jc w:val="both"/>
    </w:pPr>
    <w:rPr>
      <w:rFonts w:ascii="標楷體" w:eastAsia="標楷體" w:hAnsi="標楷體"/>
      <w:sz w:val="4"/>
      <w:szCs w:val="4"/>
    </w:rPr>
  </w:style>
  <w:style w:type="paragraph" w:customStyle="1" w:styleId="002A-A">
    <w:name w:val="002A-A."/>
    <w:basedOn w:val="a0"/>
    <w:pPr>
      <w:spacing w:line="320" w:lineRule="exact"/>
      <w:ind w:left="371" w:right="50" w:hanging="102"/>
      <w:jc w:val="both"/>
    </w:pPr>
    <w:rPr>
      <w:rFonts w:ascii="標楷體" w:eastAsia="標楷體" w:hAnsi="標楷體"/>
      <w:szCs w:val="24"/>
    </w:rPr>
  </w:style>
  <w:style w:type="paragraph" w:customStyle="1" w:styleId="002-01">
    <w:name w:val="002-01"/>
    <w:basedOn w:val="002-1"/>
    <w:pPr>
      <w:ind w:left="400" w:hanging="100"/>
    </w:pPr>
  </w:style>
  <w:style w:type="character" w:customStyle="1" w:styleId="002-13">
    <w:name w:val="002-(1) 字元"/>
    <w:rPr>
      <w:rFonts w:ascii="標楷體" w:eastAsia="標楷體" w:hAnsi="標楷體" w:cs="Times New Roman"/>
      <w:color w:val="000000"/>
      <w:szCs w:val="28"/>
    </w:rPr>
  </w:style>
  <w:style w:type="character" w:customStyle="1" w:styleId="002-010">
    <w:name w:val="002-01 字元"/>
    <w:rPr>
      <w:rFonts w:ascii="標楷體" w:eastAsia="標楷體" w:hAnsi="標楷體" w:cs="Times New Roman"/>
      <w:color w:val="000000"/>
      <w:kern w:val="3"/>
      <w:szCs w:val="28"/>
    </w:rPr>
  </w:style>
  <w:style w:type="paragraph" w:customStyle="1" w:styleId="002-14">
    <w:name w:val="002-(1)文"/>
    <w:basedOn w:val="a0"/>
    <w:pPr>
      <w:spacing w:line="320" w:lineRule="exact"/>
      <w:ind w:left="300" w:right="50"/>
      <w:jc w:val="both"/>
    </w:pPr>
    <w:rPr>
      <w:rFonts w:ascii="標楷體" w:eastAsia="標楷體" w:hAnsi="標楷體"/>
      <w:szCs w:val="24"/>
    </w:rPr>
  </w:style>
  <w:style w:type="character" w:customStyle="1" w:styleId="002-15">
    <w:name w:val="002-1.文 字元"/>
    <w:rPr>
      <w:rFonts w:ascii="標楷體" w:eastAsia="標楷體" w:hAnsi="標楷體" w:cs="Times New Roman"/>
      <w:szCs w:val="24"/>
    </w:rPr>
  </w:style>
  <w:style w:type="paragraph" w:customStyle="1" w:styleId="002-A">
    <w:name w:val="002-A."/>
    <w:basedOn w:val="a0"/>
    <w:pPr>
      <w:snapToGrid w:val="0"/>
      <w:spacing w:line="320" w:lineRule="atLeast"/>
      <w:ind w:left="555" w:right="50" w:hanging="112"/>
      <w:jc w:val="both"/>
    </w:pPr>
    <w:rPr>
      <w:rFonts w:ascii="標楷體" w:eastAsia="標楷體" w:hAnsi="標楷體"/>
      <w:szCs w:val="24"/>
    </w:rPr>
  </w:style>
  <w:style w:type="paragraph" w:customStyle="1" w:styleId="a">
    <w:name w:val="字元 字元 字元 字元"/>
    <w:basedOn w:val="a0"/>
    <w:pPr>
      <w:widowControl/>
      <w:numPr>
        <w:numId w:val="1"/>
      </w:numPr>
      <w:spacing w:after="160" w:line="240" w:lineRule="exact"/>
    </w:pPr>
    <w:rPr>
      <w:rFonts w:ascii="Verdana" w:hAnsi="Verdana"/>
      <w:kern w:val="0"/>
      <w:sz w:val="20"/>
      <w:szCs w:val="20"/>
      <w:lang w:eastAsia="en-US"/>
    </w:rPr>
  </w:style>
  <w:style w:type="paragraph" w:styleId="31">
    <w:name w:val="Body Text Indent 3"/>
    <w:basedOn w:val="a0"/>
    <w:pPr>
      <w:spacing w:line="288" w:lineRule="auto"/>
      <w:ind w:left="1762"/>
      <w:jc w:val="both"/>
    </w:pPr>
    <w:rPr>
      <w:rFonts w:ascii="標楷體" w:eastAsia="標楷體" w:hAnsi="標楷體"/>
      <w:kern w:val="0"/>
      <w:sz w:val="28"/>
      <w:szCs w:val="20"/>
    </w:rPr>
  </w:style>
  <w:style w:type="character" w:customStyle="1" w:styleId="32">
    <w:name w:val="本文縮排 3 字元"/>
    <w:basedOn w:val="a1"/>
    <w:rPr>
      <w:rFonts w:ascii="標楷體" w:eastAsia="標楷體" w:hAnsi="標楷體" w:cs="Times New Roman"/>
      <w:kern w:val="0"/>
      <w:sz w:val="28"/>
      <w:szCs w:val="20"/>
    </w:rPr>
  </w:style>
  <w:style w:type="paragraph" w:customStyle="1" w:styleId="ac">
    <w:name w:val="( 一)"/>
    <w:pPr>
      <w:suppressAutoHyphens/>
      <w:snapToGrid w:val="0"/>
      <w:spacing w:line="325" w:lineRule="exact"/>
      <w:ind w:left="100" w:hanging="100"/>
    </w:pPr>
    <w:rPr>
      <w:rFonts w:ascii="標楷體" w:eastAsia="標楷體" w:hAnsi="標楷體"/>
      <w:kern w:val="0"/>
      <w:sz w:val="26"/>
      <w:szCs w:val="20"/>
    </w:rPr>
  </w:style>
  <w:style w:type="paragraph" w:styleId="ad">
    <w:name w:val="Balloon Text"/>
    <w:basedOn w:val="a0"/>
    <w:pPr>
      <w:snapToGrid w:val="0"/>
      <w:ind w:left="50" w:right="50"/>
      <w:jc w:val="both"/>
    </w:pPr>
    <w:rPr>
      <w:rFonts w:ascii="Cambria" w:hAnsi="Cambria"/>
      <w:sz w:val="18"/>
      <w:szCs w:val="18"/>
    </w:rPr>
  </w:style>
  <w:style w:type="character" w:customStyle="1" w:styleId="ae">
    <w:name w:val="註解方塊文字 字元"/>
    <w:basedOn w:val="a1"/>
    <w:rPr>
      <w:rFonts w:ascii="Cambria" w:eastAsia="新細明體" w:hAnsi="Cambria" w:cs="Times New Roman"/>
      <w:sz w:val="18"/>
      <w:szCs w:val="18"/>
    </w:rPr>
  </w:style>
  <w:style w:type="paragraph" w:customStyle="1" w:styleId="af">
    <w:name w:val="表左一、"/>
    <w:basedOn w:val="a0"/>
    <w:pPr>
      <w:spacing w:line="283" w:lineRule="exact"/>
      <w:ind w:left="241" w:right="21"/>
      <w:jc w:val="both"/>
    </w:pPr>
    <w:rPr>
      <w:rFonts w:ascii="Times New Roman" w:hAnsi="Times New Roman"/>
      <w:sz w:val="21"/>
      <w:szCs w:val="24"/>
    </w:rPr>
  </w:style>
  <w:style w:type="paragraph" w:styleId="2">
    <w:name w:val="Body Text Indent 2"/>
    <w:basedOn w:val="a0"/>
    <w:pPr>
      <w:snapToGrid w:val="0"/>
      <w:spacing w:after="120" w:line="480" w:lineRule="auto"/>
      <w:ind w:left="480"/>
      <w:jc w:val="both"/>
    </w:pPr>
    <w:rPr>
      <w:rFonts w:ascii="標楷體" w:eastAsia="標楷體" w:hAnsi="標楷體"/>
      <w:sz w:val="26"/>
      <w:szCs w:val="24"/>
    </w:rPr>
  </w:style>
  <w:style w:type="character" w:customStyle="1" w:styleId="20">
    <w:name w:val="本文縮排 2 字元"/>
    <w:basedOn w:val="a1"/>
    <w:rPr>
      <w:rFonts w:ascii="標楷體" w:eastAsia="標楷體" w:hAnsi="標楷體" w:cs="Times New Roman"/>
      <w:sz w:val="26"/>
      <w:szCs w:val="24"/>
    </w:rPr>
  </w:style>
  <w:style w:type="paragraph" w:styleId="af0">
    <w:name w:val="List Paragraph"/>
    <w:basedOn w:val="a0"/>
    <w:pPr>
      <w:ind w:left="480"/>
    </w:pPr>
  </w:style>
  <w:style w:type="character" w:styleId="af1">
    <w:name w:val="annotation reference"/>
    <w:basedOn w:val="a1"/>
    <w:rPr>
      <w:sz w:val="18"/>
      <w:szCs w:val="18"/>
    </w:rPr>
  </w:style>
  <w:style w:type="paragraph" w:styleId="af2">
    <w:name w:val="annotation text"/>
    <w:basedOn w:val="a0"/>
  </w:style>
  <w:style w:type="character" w:customStyle="1" w:styleId="af3">
    <w:name w:val="註解文字 字元"/>
    <w:basedOn w:val="a1"/>
  </w:style>
  <w:style w:type="paragraph" w:styleId="af4">
    <w:name w:val="annotation subject"/>
    <w:basedOn w:val="af2"/>
    <w:next w:val="af2"/>
    <w:rPr>
      <w:b/>
      <w:bCs/>
    </w:rPr>
  </w:style>
  <w:style w:type="character" w:customStyle="1" w:styleId="af5">
    <w:name w:val="註解主旨 字元"/>
    <w:basedOn w:val="af3"/>
    <w:rPr>
      <w:b/>
      <w:bCs/>
    </w:rPr>
  </w:style>
  <w:style w:type="paragraph" w:styleId="Web">
    <w:name w:val="Normal (Web)"/>
    <w:basedOn w:val="a0"/>
    <w:rPr>
      <w:rFonts w:ascii="Times New Roman" w:hAnsi="Times New Roman"/>
      <w:szCs w:val="24"/>
    </w:rPr>
  </w:style>
  <w:style w:type="numbering" w:customStyle="1" w:styleId="LFO2">
    <w:name w:val="LFO2"/>
    <w:basedOn w:val="a3"/>
    <w:pPr>
      <w:numPr>
        <w:numId w:val="1"/>
      </w:numPr>
    </w:pPr>
  </w:style>
  <w:style w:type="paragraph" w:styleId="af6">
    <w:name w:val="Body Text"/>
    <w:link w:val="af7"/>
    <w:rsid w:val="00AF0F6E"/>
    <w:pPr>
      <w:widowControl w:val="0"/>
      <w:pBdr>
        <w:top w:val="none" w:sz="0" w:space="0" w:color="000000"/>
        <w:left w:val="none" w:sz="0" w:space="0" w:color="000000"/>
        <w:bottom w:val="none" w:sz="0" w:space="0" w:color="000000"/>
        <w:right w:val="none" w:sz="0" w:space="0" w:color="000000"/>
      </w:pBdr>
      <w:suppressAutoHyphens/>
      <w:autoSpaceDN/>
      <w:snapToGrid w:val="0"/>
      <w:spacing w:line="320" w:lineRule="exact"/>
      <w:ind w:left="50" w:right="50"/>
      <w:jc w:val="both"/>
      <w:textAlignment w:val="auto"/>
    </w:pPr>
    <w:rPr>
      <w:rFonts w:ascii="標楷體" w:eastAsia="標楷體" w:hAnsi="標楷體"/>
      <w:kern w:val="2"/>
      <w:szCs w:val="24"/>
    </w:rPr>
  </w:style>
  <w:style w:type="character" w:customStyle="1" w:styleId="af7">
    <w:name w:val="本文 字元"/>
    <w:basedOn w:val="a1"/>
    <w:link w:val="af6"/>
    <w:rsid w:val="00AF0F6E"/>
    <w:rPr>
      <w:rFonts w:ascii="標楷體" w:eastAsia="標楷體" w:hAnsi="標楷體"/>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paragraph" w:styleId="3">
    <w:name w:val="heading 3"/>
    <w:basedOn w:val="a0"/>
    <w:next w:val="a0"/>
    <w:pPr>
      <w:keepNext/>
      <w:spacing w:line="720" w:lineRule="auto"/>
      <w:ind w:left="50" w:right="50"/>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customStyle="1" w:styleId="30">
    <w:name w:val="標題 3 字元"/>
    <w:basedOn w:val="a1"/>
    <w:rPr>
      <w:rFonts w:ascii="Arial" w:eastAsia="新細明體" w:hAnsi="Arial" w:cs="Times New Roman"/>
      <w:b/>
      <w:bCs/>
      <w:sz w:val="36"/>
      <w:szCs w:val="36"/>
    </w:rPr>
  </w:style>
  <w:style w:type="paragraph" w:customStyle="1" w:styleId="000-">
    <w:name w:val="000-單位標"/>
    <w:basedOn w:val="a0"/>
    <w:pPr>
      <w:tabs>
        <w:tab w:val="left" w:pos="3686"/>
      </w:tabs>
      <w:snapToGrid w:val="0"/>
      <w:spacing w:before="50" w:after="50" w:line="280" w:lineRule="exact"/>
      <w:ind w:left="30" w:right="30"/>
      <w:jc w:val="center"/>
    </w:pPr>
    <w:rPr>
      <w:rFonts w:ascii="標楷體" w:eastAsia="標楷體" w:hAnsi="標楷體"/>
      <w:b/>
      <w:color w:val="000000"/>
      <w:sz w:val="36"/>
      <w:szCs w:val="36"/>
    </w:rPr>
  </w:style>
  <w:style w:type="paragraph" w:customStyle="1" w:styleId="001-">
    <w:name w:val="001-(一)"/>
    <w:basedOn w:val="a0"/>
    <w:pPr>
      <w:snapToGrid w:val="0"/>
      <w:spacing w:line="320" w:lineRule="exact"/>
      <w:ind w:left="350" w:right="50" w:hanging="200"/>
      <w:jc w:val="both"/>
    </w:pPr>
    <w:rPr>
      <w:rFonts w:ascii="標楷體" w:eastAsia="標楷體" w:hAnsi="標楷體"/>
      <w:szCs w:val="24"/>
    </w:rPr>
  </w:style>
  <w:style w:type="paragraph" w:customStyle="1" w:styleId="001-0">
    <w:name w:val="001-一"/>
    <w:basedOn w:val="a0"/>
    <w:pPr>
      <w:snapToGrid w:val="0"/>
      <w:spacing w:line="320" w:lineRule="exact"/>
      <w:ind w:left="300" w:right="50" w:hanging="200"/>
      <w:jc w:val="both"/>
    </w:pPr>
    <w:rPr>
      <w:rFonts w:ascii="標楷體" w:eastAsia="標楷體" w:hAnsi="標楷體"/>
      <w:szCs w:val="24"/>
    </w:rPr>
  </w:style>
  <w:style w:type="paragraph" w:customStyle="1" w:styleId="001-1">
    <w:name w:val="001-壹"/>
    <w:basedOn w:val="a0"/>
    <w:pPr>
      <w:snapToGrid w:val="0"/>
      <w:spacing w:line="320" w:lineRule="exact"/>
      <w:ind w:left="250" w:right="50" w:hanging="200"/>
      <w:jc w:val="both"/>
    </w:pPr>
    <w:rPr>
      <w:rFonts w:ascii="標楷體" w:eastAsia="標楷體" w:hAnsi="標楷體"/>
      <w:b/>
      <w:szCs w:val="24"/>
    </w:rPr>
  </w:style>
  <w:style w:type="paragraph" w:customStyle="1" w:styleId="002-1">
    <w:name w:val="002-(1)"/>
    <w:basedOn w:val="a0"/>
    <w:pPr>
      <w:snapToGrid w:val="0"/>
      <w:spacing w:line="320" w:lineRule="exact"/>
      <w:ind w:left="300" w:right="50" w:hanging="150"/>
      <w:jc w:val="both"/>
    </w:pPr>
    <w:rPr>
      <w:rFonts w:ascii="標楷體" w:eastAsia="標楷體" w:hAnsi="標楷體"/>
      <w:color w:val="000000"/>
      <w:szCs w:val="28"/>
    </w:rPr>
  </w:style>
  <w:style w:type="paragraph" w:customStyle="1" w:styleId="002-10">
    <w:name w:val="002-1."/>
    <w:basedOn w:val="a0"/>
    <w:pPr>
      <w:snapToGrid w:val="0"/>
      <w:spacing w:line="320" w:lineRule="exact"/>
      <w:ind w:left="370" w:right="130" w:hanging="240"/>
      <w:jc w:val="both"/>
    </w:pPr>
    <w:rPr>
      <w:rFonts w:ascii="標楷體" w:eastAsia="標楷體" w:hAnsi="標楷體"/>
      <w:color w:val="000000"/>
      <w:szCs w:val="28"/>
    </w:rPr>
  </w:style>
  <w:style w:type="paragraph" w:customStyle="1" w:styleId="002-11">
    <w:name w:val="002-1.文"/>
    <w:basedOn w:val="a0"/>
    <w:pPr>
      <w:snapToGrid w:val="0"/>
      <w:spacing w:line="320" w:lineRule="exact"/>
      <w:ind w:left="390" w:right="130"/>
      <w:jc w:val="both"/>
    </w:pPr>
    <w:rPr>
      <w:rFonts w:ascii="標楷體" w:eastAsia="標楷體" w:hAnsi="標楷體"/>
      <w:szCs w:val="24"/>
    </w:rPr>
  </w:style>
  <w:style w:type="paragraph" w:customStyle="1" w:styleId="002-12">
    <w:name w:val="002-1.標"/>
    <w:basedOn w:val="a0"/>
    <w:pPr>
      <w:snapToGrid w:val="0"/>
      <w:spacing w:line="320" w:lineRule="exact"/>
      <w:ind w:left="370" w:right="130" w:hanging="240"/>
      <w:jc w:val="both"/>
    </w:pPr>
    <w:rPr>
      <w:rFonts w:ascii="標楷體" w:eastAsia="標楷體" w:hAnsi="標楷體"/>
      <w:b/>
      <w:szCs w:val="24"/>
    </w:rPr>
  </w:style>
  <w:style w:type="paragraph" w:customStyle="1" w:styleId="002A-1">
    <w:name w:val="002A-(1)"/>
    <w:basedOn w:val="a0"/>
    <w:pPr>
      <w:snapToGrid w:val="0"/>
      <w:spacing w:line="320" w:lineRule="exact"/>
      <w:ind w:left="400" w:right="50" w:hanging="150"/>
      <w:jc w:val="both"/>
    </w:pPr>
    <w:rPr>
      <w:rFonts w:ascii="標楷體" w:eastAsia="標楷體" w:hAnsi="標楷體"/>
      <w:bCs/>
      <w:szCs w:val="24"/>
    </w:rPr>
  </w:style>
  <w:style w:type="paragraph" w:customStyle="1" w:styleId="002A-">
    <w:name w:val="002A-(一)"/>
    <w:basedOn w:val="a0"/>
    <w:pPr>
      <w:tabs>
        <w:tab w:val="left" w:pos="4170"/>
      </w:tabs>
      <w:snapToGrid w:val="0"/>
      <w:spacing w:line="320" w:lineRule="exact"/>
      <w:ind w:left="250" w:right="50" w:hanging="200"/>
      <w:jc w:val="both"/>
    </w:pPr>
    <w:rPr>
      <w:rFonts w:ascii="標楷體" w:eastAsia="標楷體" w:hAnsi="標楷體"/>
      <w:szCs w:val="24"/>
    </w:rPr>
  </w:style>
  <w:style w:type="character" w:customStyle="1" w:styleId="002A-0">
    <w:name w:val="002A-(一) 字元"/>
    <w:rPr>
      <w:rFonts w:ascii="標楷體" w:eastAsia="標楷體" w:hAnsi="標楷體" w:cs="Times New Roman"/>
      <w:szCs w:val="24"/>
    </w:rPr>
  </w:style>
  <w:style w:type="paragraph" w:customStyle="1" w:styleId="002A-2">
    <w:name w:val="002A-(一)文"/>
    <w:basedOn w:val="a0"/>
    <w:pPr>
      <w:snapToGrid w:val="0"/>
      <w:spacing w:line="320" w:lineRule="exact"/>
      <w:ind w:left="250" w:right="50"/>
      <w:jc w:val="both"/>
    </w:pPr>
    <w:rPr>
      <w:rFonts w:ascii="標楷體" w:eastAsia="標楷體" w:hAnsi="標楷體"/>
      <w:szCs w:val="24"/>
    </w:rPr>
  </w:style>
  <w:style w:type="paragraph" w:customStyle="1" w:styleId="002A-10">
    <w:name w:val="002A-1."/>
    <w:basedOn w:val="a0"/>
    <w:pPr>
      <w:snapToGrid w:val="0"/>
      <w:spacing w:line="320" w:lineRule="exact"/>
      <w:ind w:left="250" w:right="50" w:hanging="100"/>
      <w:jc w:val="both"/>
    </w:pPr>
    <w:rPr>
      <w:rFonts w:ascii="標楷體" w:eastAsia="標楷體" w:hAnsi="標楷體"/>
      <w:color w:val="000000"/>
      <w:szCs w:val="24"/>
    </w:rPr>
  </w:style>
  <w:style w:type="paragraph" w:customStyle="1" w:styleId="002A-11">
    <w:name w:val="002A-1.文"/>
    <w:basedOn w:val="002A-10"/>
    <w:pPr>
      <w:ind w:firstLine="0"/>
    </w:pPr>
  </w:style>
  <w:style w:type="paragraph" w:customStyle="1" w:styleId="002-">
    <w:name w:val="002-文"/>
    <w:basedOn w:val="a0"/>
    <w:pPr>
      <w:snapToGrid w:val="0"/>
      <w:spacing w:line="320" w:lineRule="exact"/>
      <w:ind w:left="130" w:right="130"/>
      <w:jc w:val="both"/>
    </w:pPr>
    <w:rPr>
      <w:rFonts w:ascii="標楷體" w:eastAsia="標楷體" w:hAnsi="標楷體"/>
      <w:color w:val="000000"/>
      <w:szCs w:val="24"/>
    </w:rPr>
  </w:style>
  <w:style w:type="paragraph" w:customStyle="1" w:styleId="a8">
    <w:name w:val="表文"/>
    <w:basedOn w:val="a0"/>
    <w:pPr>
      <w:snapToGrid w:val="0"/>
      <w:spacing w:line="240" w:lineRule="exact"/>
      <w:jc w:val="center"/>
    </w:pPr>
    <w:rPr>
      <w:rFonts w:ascii="標楷體" w:eastAsia="標楷體" w:hAnsi="標楷體"/>
      <w:szCs w:val="24"/>
    </w:rPr>
  </w:style>
  <w:style w:type="paragraph" w:customStyle="1" w:styleId="a9">
    <w:name w:val="表左"/>
    <w:basedOn w:val="a0"/>
    <w:pPr>
      <w:spacing w:line="283" w:lineRule="exact"/>
      <w:ind w:left="57" w:right="57"/>
      <w:jc w:val="both"/>
    </w:pPr>
    <w:rPr>
      <w:rFonts w:ascii="Times New Roman" w:hAnsi="Times New Roman"/>
      <w:sz w:val="20"/>
      <w:szCs w:val="24"/>
    </w:rPr>
  </w:style>
  <w:style w:type="paragraph" w:customStyle="1" w:styleId="1">
    <w:name w:val="表左1."/>
    <w:basedOn w:val="a0"/>
    <w:pPr>
      <w:spacing w:line="283" w:lineRule="exact"/>
      <w:ind w:left="241" w:right="31" w:hanging="210"/>
      <w:jc w:val="both"/>
    </w:pPr>
    <w:rPr>
      <w:rFonts w:ascii="Times New Roman" w:hAnsi="Times New Roman"/>
      <w:sz w:val="21"/>
      <w:szCs w:val="24"/>
    </w:rPr>
  </w:style>
  <w:style w:type="character" w:styleId="aa">
    <w:name w:val="page number"/>
    <w:basedOn w:val="a1"/>
  </w:style>
  <w:style w:type="paragraph" w:customStyle="1" w:styleId="ab">
    <w:name w:val="最後空格"/>
    <w:basedOn w:val="a0"/>
    <w:pPr>
      <w:snapToGrid w:val="0"/>
      <w:spacing w:line="20" w:lineRule="exact"/>
      <w:ind w:left="50" w:right="50"/>
      <w:jc w:val="both"/>
    </w:pPr>
    <w:rPr>
      <w:rFonts w:ascii="標楷體" w:eastAsia="標楷體" w:hAnsi="標楷體"/>
      <w:sz w:val="4"/>
      <w:szCs w:val="4"/>
    </w:rPr>
  </w:style>
  <w:style w:type="paragraph" w:customStyle="1" w:styleId="002A-A">
    <w:name w:val="002A-A."/>
    <w:basedOn w:val="a0"/>
    <w:pPr>
      <w:spacing w:line="320" w:lineRule="exact"/>
      <w:ind w:left="371" w:right="50" w:hanging="102"/>
      <w:jc w:val="both"/>
    </w:pPr>
    <w:rPr>
      <w:rFonts w:ascii="標楷體" w:eastAsia="標楷體" w:hAnsi="標楷體"/>
      <w:szCs w:val="24"/>
    </w:rPr>
  </w:style>
  <w:style w:type="paragraph" w:customStyle="1" w:styleId="002-01">
    <w:name w:val="002-01"/>
    <w:basedOn w:val="002-1"/>
    <w:pPr>
      <w:ind w:left="400" w:hanging="100"/>
    </w:pPr>
  </w:style>
  <w:style w:type="character" w:customStyle="1" w:styleId="002-13">
    <w:name w:val="002-(1) 字元"/>
    <w:rPr>
      <w:rFonts w:ascii="標楷體" w:eastAsia="標楷體" w:hAnsi="標楷體" w:cs="Times New Roman"/>
      <w:color w:val="000000"/>
      <w:szCs w:val="28"/>
    </w:rPr>
  </w:style>
  <w:style w:type="character" w:customStyle="1" w:styleId="002-010">
    <w:name w:val="002-01 字元"/>
    <w:rPr>
      <w:rFonts w:ascii="標楷體" w:eastAsia="標楷體" w:hAnsi="標楷體" w:cs="Times New Roman"/>
      <w:color w:val="000000"/>
      <w:kern w:val="3"/>
      <w:szCs w:val="28"/>
    </w:rPr>
  </w:style>
  <w:style w:type="paragraph" w:customStyle="1" w:styleId="002-14">
    <w:name w:val="002-(1)文"/>
    <w:basedOn w:val="a0"/>
    <w:pPr>
      <w:spacing w:line="320" w:lineRule="exact"/>
      <w:ind w:left="300" w:right="50"/>
      <w:jc w:val="both"/>
    </w:pPr>
    <w:rPr>
      <w:rFonts w:ascii="標楷體" w:eastAsia="標楷體" w:hAnsi="標楷體"/>
      <w:szCs w:val="24"/>
    </w:rPr>
  </w:style>
  <w:style w:type="character" w:customStyle="1" w:styleId="002-15">
    <w:name w:val="002-1.文 字元"/>
    <w:rPr>
      <w:rFonts w:ascii="標楷體" w:eastAsia="標楷體" w:hAnsi="標楷體" w:cs="Times New Roman"/>
      <w:szCs w:val="24"/>
    </w:rPr>
  </w:style>
  <w:style w:type="paragraph" w:customStyle="1" w:styleId="002-A">
    <w:name w:val="002-A."/>
    <w:basedOn w:val="a0"/>
    <w:pPr>
      <w:snapToGrid w:val="0"/>
      <w:spacing w:line="320" w:lineRule="atLeast"/>
      <w:ind w:left="555" w:right="50" w:hanging="112"/>
      <w:jc w:val="both"/>
    </w:pPr>
    <w:rPr>
      <w:rFonts w:ascii="標楷體" w:eastAsia="標楷體" w:hAnsi="標楷體"/>
      <w:szCs w:val="24"/>
    </w:rPr>
  </w:style>
  <w:style w:type="paragraph" w:customStyle="1" w:styleId="a">
    <w:name w:val="字元 字元 字元 字元"/>
    <w:basedOn w:val="a0"/>
    <w:pPr>
      <w:widowControl/>
      <w:numPr>
        <w:numId w:val="1"/>
      </w:numPr>
      <w:spacing w:after="160" w:line="240" w:lineRule="exact"/>
    </w:pPr>
    <w:rPr>
      <w:rFonts w:ascii="Verdana" w:hAnsi="Verdana"/>
      <w:kern w:val="0"/>
      <w:sz w:val="20"/>
      <w:szCs w:val="20"/>
      <w:lang w:eastAsia="en-US"/>
    </w:rPr>
  </w:style>
  <w:style w:type="paragraph" w:styleId="31">
    <w:name w:val="Body Text Indent 3"/>
    <w:basedOn w:val="a0"/>
    <w:pPr>
      <w:spacing w:line="288" w:lineRule="auto"/>
      <w:ind w:left="1762"/>
      <w:jc w:val="both"/>
    </w:pPr>
    <w:rPr>
      <w:rFonts w:ascii="標楷體" w:eastAsia="標楷體" w:hAnsi="標楷體"/>
      <w:kern w:val="0"/>
      <w:sz w:val="28"/>
      <w:szCs w:val="20"/>
    </w:rPr>
  </w:style>
  <w:style w:type="character" w:customStyle="1" w:styleId="32">
    <w:name w:val="本文縮排 3 字元"/>
    <w:basedOn w:val="a1"/>
    <w:rPr>
      <w:rFonts w:ascii="標楷體" w:eastAsia="標楷體" w:hAnsi="標楷體" w:cs="Times New Roman"/>
      <w:kern w:val="0"/>
      <w:sz w:val="28"/>
      <w:szCs w:val="20"/>
    </w:rPr>
  </w:style>
  <w:style w:type="paragraph" w:customStyle="1" w:styleId="ac">
    <w:name w:val="( 一)"/>
    <w:pPr>
      <w:suppressAutoHyphens/>
      <w:snapToGrid w:val="0"/>
      <w:spacing w:line="325" w:lineRule="exact"/>
      <w:ind w:left="100" w:hanging="100"/>
    </w:pPr>
    <w:rPr>
      <w:rFonts w:ascii="標楷體" w:eastAsia="標楷體" w:hAnsi="標楷體"/>
      <w:kern w:val="0"/>
      <w:sz w:val="26"/>
      <w:szCs w:val="20"/>
    </w:rPr>
  </w:style>
  <w:style w:type="paragraph" w:styleId="ad">
    <w:name w:val="Balloon Text"/>
    <w:basedOn w:val="a0"/>
    <w:pPr>
      <w:snapToGrid w:val="0"/>
      <w:ind w:left="50" w:right="50"/>
      <w:jc w:val="both"/>
    </w:pPr>
    <w:rPr>
      <w:rFonts w:ascii="Cambria" w:hAnsi="Cambria"/>
      <w:sz w:val="18"/>
      <w:szCs w:val="18"/>
    </w:rPr>
  </w:style>
  <w:style w:type="character" w:customStyle="1" w:styleId="ae">
    <w:name w:val="註解方塊文字 字元"/>
    <w:basedOn w:val="a1"/>
    <w:rPr>
      <w:rFonts w:ascii="Cambria" w:eastAsia="新細明體" w:hAnsi="Cambria" w:cs="Times New Roman"/>
      <w:sz w:val="18"/>
      <w:szCs w:val="18"/>
    </w:rPr>
  </w:style>
  <w:style w:type="paragraph" w:customStyle="1" w:styleId="af">
    <w:name w:val="表左一、"/>
    <w:basedOn w:val="a0"/>
    <w:pPr>
      <w:spacing w:line="283" w:lineRule="exact"/>
      <w:ind w:left="241" w:right="21"/>
      <w:jc w:val="both"/>
    </w:pPr>
    <w:rPr>
      <w:rFonts w:ascii="Times New Roman" w:hAnsi="Times New Roman"/>
      <w:sz w:val="21"/>
      <w:szCs w:val="24"/>
    </w:rPr>
  </w:style>
  <w:style w:type="paragraph" w:styleId="2">
    <w:name w:val="Body Text Indent 2"/>
    <w:basedOn w:val="a0"/>
    <w:pPr>
      <w:snapToGrid w:val="0"/>
      <w:spacing w:after="120" w:line="480" w:lineRule="auto"/>
      <w:ind w:left="480"/>
      <w:jc w:val="both"/>
    </w:pPr>
    <w:rPr>
      <w:rFonts w:ascii="標楷體" w:eastAsia="標楷體" w:hAnsi="標楷體"/>
      <w:sz w:val="26"/>
      <w:szCs w:val="24"/>
    </w:rPr>
  </w:style>
  <w:style w:type="character" w:customStyle="1" w:styleId="20">
    <w:name w:val="本文縮排 2 字元"/>
    <w:basedOn w:val="a1"/>
    <w:rPr>
      <w:rFonts w:ascii="標楷體" w:eastAsia="標楷體" w:hAnsi="標楷體" w:cs="Times New Roman"/>
      <w:sz w:val="26"/>
      <w:szCs w:val="24"/>
    </w:rPr>
  </w:style>
  <w:style w:type="paragraph" w:styleId="af0">
    <w:name w:val="List Paragraph"/>
    <w:basedOn w:val="a0"/>
    <w:pPr>
      <w:ind w:left="480"/>
    </w:pPr>
  </w:style>
  <w:style w:type="character" w:styleId="af1">
    <w:name w:val="annotation reference"/>
    <w:basedOn w:val="a1"/>
    <w:rPr>
      <w:sz w:val="18"/>
      <w:szCs w:val="18"/>
    </w:rPr>
  </w:style>
  <w:style w:type="paragraph" w:styleId="af2">
    <w:name w:val="annotation text"/>
    <w:basedOn w:val="a0"/>
  </w:style>
  <w:style w:type="character" w:customStyle="1" w:styleId="af3">
    <w:name w:val="註解文字 字元"/>
    <w:basedOn w:val="a1"/>
  </w:style>
  <w:style w:type="paragraph" w:styleId="af4">
    <w:name w:val="annotation subject"/>
    <w:basedOn w:val="af2"/>
    <w:next w:val="af2"/>
    <w:rPr>
      <w:b/>
      <w:bCs/>
    </w:rPr>
  </w:style>
  <w:style w:type="character" w:customStyle="1" w:styleId="af5">
    <w:name w:val="註解主旨 字元"/>
    <w:basedOn w:val="af3"/>
    <w:rPr>
      <w:b/>
      <w:bCs/>
    </w:rPr>
  </w:style>
  <w:style w:type="paragraph" w:styleId="Web">
    <w:name w:val="Normal (Web)"/>
    <w:basedOn w:val="a0"/>
    <w:rPr>
      <w:rFonts w:ascii="Times New Roman" w:hAnsi="Times New Roman"/>
      <w:szCs w:val="24"/>
    </w:rPr>
  </w:style>
  <w:style w:type="numbering" w:customStyle="1" w:styleId="LFO2">
    <w:name w:val="LFO2"/>
    <w:basedOn w:val="a3"/>
    <w:pPr>
      <w:numPr>
        <w:numId w:val="1"/>
      </w:numPr>
    </w:pPr>
  </w:style>
  <w:style w:type="paragraph" w:styleId="af6">
    <w:name w:val="Body Text"/>
    <w:link w:val="af7"/>
    <w:rsid w:val="00AF0F6E"/>
    <w:pPr>
      <w:widowControl w:val="0"/>
      <w:pBdr>
        <w:top w:val="none" w:sz="0" w:space="0" w:color="000000"/>
        <w:left w:val="none" w:sz="0" w:space="0" w:color="000000"/>
        <w:bottom w:val="none" w:sz="0" w:space="0" w:color="000000"/>
        <w:right w:val="none" w:sz="0" w:space="0" w:color="000000"/>
      </w:pBdr>
      <w:suppressAutoHyphens/>
      <w:autoSpaceDN/>
      <w:snapToGrid w:val="0"/>
      <w:spacing w:line="320" w:lineRule="exact"/>
      <w:ind w:left="50" w:right="50"/>
      <w:jc w:val="both"/>
      <w:textAlignment w:val="auto"/>
    </w:pPr>
    <w:rPr>
      <w:rFonts w:ascii="標楷體" w:eastAsia="標楷體" w:hAnsi="標楷體"/>
      <w:kern w:val="2"/>
      <w:szCs w:val="24"/>
    </w:rPr>
  </w:style>
  <w:style w:type="character" w:customStyle="1" w:styleId="af7">
    <w:name w:val="本文 字元"/>
    <w:basedOn w:val="a1"/>
    <w:link w:val="af6"/>
    <w:rsid w:val="00AF0F6E"/>
    <w:rPr>
      <w:rFonts w:ascii="標楷體" w:eastAsia="標楷體" w:hAnsi="標楷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BAD1-D99E-4F3B-8DF0-9CD60318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2062</Words>
  <Characters>11760</Characters>
  <Application>Microsoft Office Word</Application>
  <DocSecurity>0</DocSecurity>
  <Lines>98</Lines>
  <Paragraphs>27</Paragraphs>
  <ScaleCrop>false</ScaleCrop>
  <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fb702</dc:creator>
  <cp:lastModifiedBy>User</cp:lastModifiedBy>
  <cp:revision>2</cp:revision>
  <cp:lastPrinted>2024-01-08T07:49:00Z</cp:lastPrinted>
  <dcterms:created xsi:type="dcterms:W3CDTF">2024-05-16T03:04:00Z</dcterms:created>
  <dcterms:modified xsi:type="dcterms:W3CDTF">2024-05-16T03:04:00Z</dcterms:modified>
</cp:coreProperties>
</file>