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1B62" w14:textId="0A3C8BD3" w:rsidR="00602685" w:rsidRPr="00EF0D18" w:rsidRDefault="006221EF" w:rsidP="00E016F8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F0D18">
        <w:rPr>
          <w:rFonts w:ascii="Times New Roman" w:eastAsia="標楷體" w:hAnsi="Times New Roman" w:cs="Times New Roman"/>
          <w:b/>
          <w:bCs/>
          <w:sz w:val="32"/>
          <w:szCs w:val="28"/>
        </w:rPr>
        <w:t>金屬</w:t>
      </w:r>
      <w:r w:rsidR="00AA574A" w:rsidRPr="00EF0D18">
        <w:rPr>
          <w:rFonts w:ascii="Times New Roman" w:eastAsia="標楷體" w:hAnsi="Times New Roman" w:cs="Times New Roman"/>
          <w:b/>
          <w:bCs/>
          <w:sz w:val="32"/>
          <w:szCs w:val="28"/>
        </w:rPr>
        <w:t>熔</w:t>
      </w:r>
      <w:r w:rsidRPr="00EF0D18">
        <w:rPr>
          <w:rFonts w:ascii="Times New Roman" w:eastAsia="標楷體" w:hAnsi="Times New Roman" w:cs="Times New Roman"/>
          <w:b/>
          <w:bCs/>
          <w:sz w:val="32"/>
          <w:szCs w:val="28"/>
        </w:rPr>
        <w:t>鑄</w:t>
      </w:r>
      <w:r w:rsidR="00E016F8" w:rsidRPr="00EF0D18">
        <w:rPr>
          <w:rFonts w:ascii="Times New Roman" w:eastAsia="標楷體" w:hAnsi="Times New Roman" w:cs="Times New Roman"/>
          <w:b/>
          <w:bCs/>
          <w:sz w:val="32"/>
          <w:szCs w:val="28"/>
        </w:rPr>
        <w:t>作業安全檢核表</w:t>
      </w:r>
    </w:p>
    <w:p w14:paraId="085C9208" w14:textId="5A1935BC" w:rsidR="00FC3ECC" w:rsidRPr="00EF0D18" w:rsidRDefault="00FC3ECC" w:rsidP="00E016F8">
      <w:pPr>
        <w:jc w:val="center"/>
        <w:rPr>
          <w:rFonts w:ascii="Times New Roman" w:eastAsia="標楷體" w:hAnsi="Times New Roman" w:cs="Times New Roman"/>
          <w:b/>
          <w:bCs/>
        </w:rPr>
      </w:pPr>
      <w:r w:rsidRPr="00EF0D18">
        <w:rPr>
          <w:rFonts w:ascii="Times New Roman" w:eastAsia="標楷體" w:hAnsi="Times New Roman" w:cs="Times New Roman"/>
          <w:b/>
          <w:bCs/>
        </w:rPr>
        <w:t>作業日期：</w:t>
      </w:r>
      <w:r w:rsidRPr="00EF0D18">
        <w:rPr>
          <w:rFonts w:ascii="Times New Roman" w:eastAsia="標楷體" w:hAnsi="Times New Roman" w:cs="Times New Roman"/>
          <w:b/>
          <w:bCs/>
        </w:rPr>
        <w:t xml:space="preserve">             </w:t>
      </w:r>
      <w:r w:rsidRPr="00EF0D18">
        <w:rPr>
          <w:rFonts w:ascii="Times New Roman" w:eastAsia="標楷體" w:hAnsi="Times New Roman" w:cs="Times New Roman"/>
          <w:b/>
          <w:bCs/>
        </w:rPr>
        <w:t>作業地點：</w:t>
      </w:r>
      <w:r w:rsidRPr="00EF0D18">
        <w:rPr>
          <w:rFonts w:ascii="Times New Roman" w:eastAsia="標楷體" w:hAnsi="Times New Roman" w:cs="Times New Roman"/>
          <w:b/>
          <w:bCs/>
        </w:rPr>
        <w:t xml:space="preserve">             </w:t>
      </w:r>
      <w:r w:rsidRPr="00EF0D18">
        <w:rPr>
          <w:rFonts w:ascii="Times New Roman" w:eastAsia="標楷體" w:hAnsi="Times New Roman" w:cs="Times New Roman"/>
          <w:b/>
          <w:bCs/>
        </w:rPr>
        <w:t>作業人數：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EF0D18" w:rsidRPr="00EF0D18" w14:paraId="7C84BD78" w14:textId="77777777" w:rsidTr="00FF2A66">
        <w:tc>
          <w:tcPr>
            <w:tcW w:w="2405" w:type="dxa"/>
            <w:shd w:val="clear" w:color="auto" w:fill="D9D9D9" w:themeFill="background1" w:themeFillShade="D9"/>
          </w:tcPr>
          <w:p w14:paraId="6EC30187" w14:textId="6C7C706E" w:rsidR="00E016F8" w:rsidRPr="00EF0D18" w:rsidRDefault="00E016F8" w:rsidP="00E016F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4A1E8656" w14:textId="7CF2166E" w:rsidR="00E016F8" w:rsidRPr="00EF0D18" w:rsidRDefault="00E016F8" w:rsidP="00E016F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查核標準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請打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 xml:space="preserve"> v)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10147978" w14:textId="6E537E82" w:rsidR="00E016F8" w:rsidRPr="00EF0D18" w:rsidRDefault="00E016F8" w:rsidP="00E016F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查核結果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>請打</w:t>
            </w:r>
            <w:r w:rsidRPr="00EF0D18">
              <w:rPr>
                <w:rFonts w:ascii="Times New Roman" w:eastAsia="標楷體" w:hAnsi="Times New Roman" w:cs="Times New Roman"/>
                <w:b/>
                <w:bCs/>
              </w:rPr>
              <w:t xml:space="preserve"> v)</w:t>
            </w:r>
          </w:p>
        </w:tc>
      </w:tr>
      <w:tr w:rsidR="00EF0D18" w:rsidRPr="00EF0D18" w14:paraId="17251B60" w14:textId="77777777" w:rsidTr="00FF2A66">
        <w:tc>
          <w:tcPr>
            <w:tcW w:w="2405" w:type="dxa"/>
          </w:tcPr>
          <w:p w14:paraId="0B658C5F" w14:textId="56058451" w:rsidR="0002298C" w:rsidRPr="00EF0D18" w:rsidRDefault="00C61C97" w:rsidP="00C61C9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61C97">
              <w:rPr>
                <w:rFonts w:ascii="MS Gothic" w:eastAsia="MS Gothic" w:hAnsi="MS Gothic" w:cs="MS Gothic" w:hint="eastAsia"/>
              </w:rPr>
              <w:t>✦</w:t>
            </w:r>
            <w:r w:rsidR="00666176" w:rsidRPr="00EF0D18">
              <w:rPr>
                <w:rFonts w:ascii="Times New Roman" w:eastAsia="標楷體" w:hAnsi="Times New Roman" w:cs="Times New Roman"/>
              </w:rPr>
              <w:t>起爐熔煉作業前</w:t>
            </w:r>
            <w:r w:rsidR="0002298C" w:rsidRPr="00EF0D18">
              <w:rPr>
                <w:rFonts w:ascii="Times New Roman" w:eastAsia="標楷體" w:hAnsi="Times New Roman" w:cs="Times New Roman"/>
              </w:rPr>
              <w:t>（以反射爐、感應電爐為例）</w:t>
            </w:r>
            <w:r w:rsidR="00EF0D18" w:rsidRPr="00EF0D18">
              <w:rPr>
                <w:rFonts w:ascii="Times New Roman" w:eastAsia="標楷體" w:hAnsi="Times New Roman" w:cs="Times New Roman" w:hint="eastAsia"/>
              </w:rPr>
              <w:t>及作業標準</w:t>
            </w:r>
          </w:p>
        </w:tc>
        <w:tc>
          <w:tcPr>
            <w:tcW w:w="4565" w:type="dxa"/>
          </w:tcPr>
          <w:p w14:paraId="2FBAFD1D" w14:textId="77777777" w:rsidR="00D96CEE" w:rsidRPr="00EF0D18" w:rsidRDefault="00D96CEE" w:rsidP="00D96CEE">
            <w:pPr>
              <w:rPr>
                <w:rFonts w:ascii="標楷體" w:eastAsia="標楷體" w:hAnsi="標楷體"/>
                <w:szCs w:val="24"/>
              </w:rPr>
            </w:pPr>
            <w:r w:rsidRPr="00EF0D18">
              <w:rPr>
                <w:rFonts w:ascii="標楷體" w:eastAsia="標楷體" w:hAnsi="標楷體" w:hint="eastAsia"/>
                <w:szCs w:val="24"/>
              </w:rPr>
              <w:t>□已訂定作業標準。【職業安全衛生法施行細則第31、41條】</w:t>
            </w:r>
          </w:p>
          <w:p w14:paraId="5C263F1D" w14:textId="77777777" w:rsidR="00D96CEE" w:rsidRDefault="00D96CEE" w:rsidP="00666176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2047559F" w14:textId="0A46E0AF" w:rsidR="002D18F5" w:rsidRPr="00EF0D18" w:rsidRDefault="00666176" w:rsidP="00666176">
            <w:pPr>
              <w:rPr>
                <w:rFonts w:ascii="標楷體" w:eastAsia="標楷體" w:hAnsi="標楷體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2D18F5" w:rsidRPr="00EF0D18">
              <w:rPr>
                <w:rFonts w:ascii="標楷體" w:eastAsia="標楷體" w:hAnsi="標楷體" w:hint="eastAsia"/>
                <w:szCs w:val="24"/>
              </w:rPr>
              <w:t>作業相關人員已完成安全衛生教育訓練與危害告知</w:t>
            </w:r>
            <w:proofErr w:type="gramStart"/>
            <w:r w:rsidR="00BE6206" w:rsidRPr="00EF0D18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proofErr w:type="gramEnd"/>
            <w:r w:rsidR="00BE6206" w:rsidRPr="00EF0D18">
              <w:rPr>
                <w:rFonts w:ascii="標楷體" w:eastAsia="標楷體" w:hAnsi="標楷體" w:cs="Times New Roman" w:hint="eastAsia"/>
                <w:szCs w:val="24"/>
              </w:rPr>
              <w:t>職業安全衛生教育訓練規則第17、18條；職業安全衛生法第26條</w:t>
            </w:r>
            <w:proofErr w:type="gramStart"/>
            <w:r w:rsidR="00BE6206" w:rsidRPr="00EF0D18">
              <w:rPr>
                <w:rFonts w:ascii="標楷體" w:eastAsia="標楷體" w:hAnsi="標楷體" w:cs="Times New Roman" w:hint="eastAsia"/>
                <w:szCs w:val="24"/>
              </w:rPr>
              <w:t>】</w:t>
            </w:r>
            <w:proofErr w:type="gramEnd"/>
          </w:p>
          <w:p w14:paraId="4C88B240" w14:textId="77777777" w:rsidR="00EF0D18" w:rsidRPr="00EF0D18" w:rsidRDefault="00EF0D18" w:rsidP="00666176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5070E649" w14:textId="2093D7E0" w:rsidR="00360B82" w:rsidRPr="00EF0D18" w:rsidRDefault="002D18F5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666176"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相關管路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proofErr w:type="gramStart"/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閥件</w:t>
            </w:r>
            <w:proofErr w:type="gramEnd"/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儀</w:t>
            </w:r>
            <w:proofErr w:type="gramStart"/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錶</w:t>
            </w:r>
            <w:proofErr w:type="gramEnd"/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功能正常</w:t>
            </w:r>
            <w:r w:rsidR="00042E4D" w:rsidRPr="00EF0D18">
              <w:rPr>
                <w:rFonts w:ascii="Times New Roman" w:eastAsia="標楷體" w:hAnsi="Times New Roman" w:cs="Times New Roman"/>
                <w:szCs w:val="24"/>
              </w:rPr>
              <w:t>，設定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參數與設施在正常範圍</w:t>
            </w:r>
            <w:proofErr w:type="gramStart"/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電壓電流值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="002B6961"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1D533FEF" w14:textId="77777777" w:rsidR="00BE6206" w:rsidRPr="00EF0D18" w:rsidRDefault="00BE6206" w:rsidP="00666176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7DA711E7" w14:textId="6A67707C" w:rsidR="00AD02A7" w:rsidRPr="00EF0D18" w:rsidRDefault="00AD02A7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E2127A" w:rsidRPr="00EF0D18">
              <w:rPr>
                <w:rFonts w:ascii="Times New Roman" w:eastAsia="標楷體" w:hAnsi="Times New Roman" w:cs="Times New Roman"/>
                <w:szCs w:val="24"/>
              </w:rPr>
              <w:t>爐具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冷卻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水</w:t>
            </w:r>
            <w:r w:rsidR="001D6CDA" w:rsidRPr="00EF0D18">
              <w:rPr>
                <w:rFonts w:ascii="Times New Roman" w:eastAsia="標楷體" w:hAnsi="Times New Roman" w:cs="Times New Roman"/>
                <w:szCs w:val="24"/>
              </w:rPr>
              <w:t>系統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功能正常，</w:t>
            </w:r>
            <w:proofErr w:type="gramStart"/>
            <w:r w:rsidR="00B41904" w:rsidRPr="00EF0D18">
              <w:rPr>
                <w:rFonts w:ascii="Times New Roman" w:eastAsia="標楷體" w:hAnsi="Times New Roman" w:cs="Times New Roman"/>
                <w:szCs w:val="24"/>
              </w:rPr>
              <w:t>過溫保護</w:t>
            </w:r>
            <w:proofErr w:type="gramEnd"/>
            <w:r w:rsidR="00B41904" w:rsidRPr="00EF0D18">
              <w:rPr>
                <w:rFonts w:ascii="Times New Roman" w:eastAsia="標楷體" w:hAnsi="Times New Roman" w:cs="Times New Roman"/>
                <w:szCs w:val="24"/>
              </w:rPr>
              <w:t>措施正常，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避免</w:t>
            </w:r>
            <w:r w:rsidR="00333EEE" w:rsidRPr="00EF0D18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="001D6CDA" w:rsidRPr="00EF0D18">
              <w:rPr>
                <w:rFonts w:ascii="Times New Roman" w:eastAsia="標楷體" w:hAnsi="Times New Roman" w:cs="Times New Roman"/>
                <w:szCs w:val="24"/>
              </w:rPr>
              <w:t>溫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危險</w:t>
            </w:r>
          </w:p>
          <w:p w14:paraId="3AEA3D40" w14:textId="77777777" w:rsidR="00AD02A7" w:rsidRPr="00EF0D18" w:rsidRDefault="00AD02A7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EBE4ED5" w14:textId="3BDAC202" w:rsidR="00666176" w:rsidRPr="00EF0D18" w:rsidRDefault="00360B82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666176" w:rsidRPr="00EF0D18">
              <w:rPr>
                <w:rFonts w:ascii="Times New Roman" w:eastAsia="標楷體" w:hAnsi="Times New Roman" w:cs="Times New Roman"/>
                <w:szCs w:val="24"/>
              </w:rPr>
              <w:t>加熱裝置及其他易引起火災之高熱設備，應有必要之防火構造，並與建築物或可燃性物體間採取必要之隔離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169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08CD3A74" w14:textId="77777777" w:rsidR="00EA35DA" w:rsidRPr="00EF0D18" w:rsidRDefault="00EA35DA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068E73" w14:textId="19963CFE" w:rsidR="00F770AD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熔融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有接觸機械、器具或設備之高溫熱表面引起</w:t>
            </w:r>
            <w:proofErr w:type="gramStart"/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灼</w:t>
            </w:r>
            <w:proofErr w:type="gramEnd"/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燙傷之虞時，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已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設置警示標誌、適當之隔熱等必要安全設施【職業安全衛生設施規則第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1F35E94C" w14:textId="77777777" w:rsidR="00EA35DA" w:rsidRPr="00EF0D18" w:rsidRDefault="00EA35DA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ABD5071" w14:textId="1A901F8C" w:rsidR="00FA5D7A" w:rsidRPr="00EF0D18" w:rsidRDefault="00F770AD" w:rsidP="00FA5D7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人員有暴露於高溫或其他有害物之虞者，應置備安全衛生防護具，並使其確實使用</w:t>
            </w:r>
            <w:r w:rsidR="00FA5D7A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FA5D7A" w:rsidRPr="00EF0D18">
              <w:rPr>
                <w:rFonts w:ascii="Times New Roman" w:eastAsia="標楷體" w:hAnsi="Times New Roman" w:cs="Times New Roman"/>
                <w:szCs w:val="24"/>
              </w:rPr>
              <w:t>287</w:t>
            </w:r>
            <w:r w:rsidR="00FA5D7A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="00FA5D7A" w:rsidRPr="00EF0D18">
              <w:rPr>
                <w:rFonts w:ascii="Times New Roman" w:eastAsia="標楷體" w:hAnsi="Times New Roman" w:cs="Times New Roman"/>
                <w:szCs w:val="24"/>
              </w:rPr>
              <w:t>個人防護具或防護器具，應依下列規定辦理：</w:t>
            </w:r>
          </w:p>
          <w:p w14:paraId="51CFB41F" w14:textId="3B12AFB9" w:rsidR="00360B82" w:rsidRPr="00EF0D18" w:rsidRDefault="00FA5D7A" w:rsidP="00FA5D7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一、保持清潔，並予必要之消毒。二、經常檢查，保持其性能，不用時並妥予保存。三、防護具或防護器具應準備足夠使用之數量，個人使用之防護具應置備與作業勞工人數相同或以上之數量，並以個人專用為原則。四、對勞工有感染疾病之虞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lastRenderedPageBreak/>
              <w:t>時，應置備個人專用防護器具，或作預防感染疾病之措施。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77</w:t>
            </w:r>
            <w:r w:rsidR="00360B82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2D8D52E7" w14:textId="77777777" w:rsidR="00EA35DA" w:rsidRPr="00EF0D18" w:rsidRDefault="00EA35DA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D4E2860" w14:textId="69FB3268" w:rsidR="00751AC4" w:rsidRPr="00EF0D18" w:rsidRDefault="00360B82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熔融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高熱物之處理設備所在之建築物應有地板面</w:t>
            </w:r>
            <w:proofErr w:type="gramStart"/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積水及可以防止雨水由屋頂、牆壁、窗戶等滲入之構</w:t>
            </w:r>
            <w:r w:rsidR="00B41904" w:rsidRPr="00EF0D18">
              <w:rPr>
                <w:rFonts w:ascii="Times New Roman" w:eastAsia="標楷體" w:hAnsi="Times New Roman" w:cs="Times New Roman"/>
                <w:szCs w:val="24"/>
              </w:rPr>
              <w:t>造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180</w:t>
            </w:r>
            <w:r w:rsidR="00751AC4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4F0FFB75" w14:textId="77777777" w:rsidR="00EA35DA" w:rsidRPr="00EF0D18" w:rsidRDefault="00EA35DA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249F244E" w14:textId="77777777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將金屬碎屑或碎片投入金屬熔爐之作業時，為防止爆炸，應事前確定該金屬碎屑或碎片中</w:t>
            </w:r>
            <w:proofErr w:type="gramStart"/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未雜含</w:t>
            </w:r>
            <w:proofErr w:type="gramEnd"/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水分、火藥類等危險物或密閉容器【職業安全衛生設施規則第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182</w:t>
            </w:r>
            <w:r w:rsidR="00F770AD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7EFB6309" w14:textId="77777777" w:rsidR="002D18F5" w:rsidRPr="00EF0D18" w:rsidRDefault="002D18F5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1C6E204" w14:textId="53BAF31B" w:rsidR="000932BB" w:rsidRPr="00EF0D18" w:rsidRDefault="000932BB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現場已完成緊急應變</w:t>
            </w:r>
            <w:r w:rsidR="00E40B08" w:rsidRPr="00EF0D18">
              <w:rPr>
                <w:rFonts w:ascii="Times New Roman" w:eastAsia="標楷體" w:hAnsi="Times New Roman" w:cs="Times New Roman"/>
                <w:szCs w:val="24"/>
              </w:rPr>
              <w:t>設施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（例如滅火設備），應變程序，人員熟知應變作法</w:t>
            </w:r>
            <w:r w:rsidR="00072131" w:rsidRPr="00EF0D18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83348E" w:rsidRPr="00EF0D18">
              <w:rPr>
                <w:rFonts w:ascii="Times New Roman" w:eastAsia="標楷體" w:hAnsi="Times New Roman" w:cs="Times New Roman"/>
                <w:szCs w:val="24"/>
              </w:rPr>
              <w:t>職業安全衛生管理辦法</w:t>
            </w:r>
            <w:r w:rsidR="00072131" w:rsidRPr="00EF0D1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83348E" w:rsidRPr="00EF0D18">
              <w:rPr>
                <w:rFonts w:ascii="Times New Roman" w:eastAsia="標楷體" w:hAnsi="Times New Roman" w:cs="Times New Roman"/>
                <w:szCs w:val="24"/>
              </w:rPr>
              <w:t>12-6</w:t>
            </w:r>
            <w:r w:rsidR="00072131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03B77417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lastRenderedPageBreak/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2FED3BBF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518A7136" w14:textId="77777777" w:rsidR="002D2C8B" w:rsidRPr="00EF0D18" w:rsidRDefault="002D2C8B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DBE1DEA" w14:textId="7A2DFE87" w:rsidR="00666176" w:rsidRPr="00EF0D18" w:rsidRDefault="002D2C8B" w:rsidP="0066617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1726E59C" w14:textId="77777777" w:rsidR="002D2C8B" w:rsidRPr="00EF0D18" w:rsidRDefault="002D2C8B" w:rsidP="00360B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5D9948F" w14:textId="4725FB4F" w:rsidR="00360B82" w:rsidRPr="00EF0D18" w:rsidRDefault="00360B82" w:rsidP="00360B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</w:t>
            </w:r>
            <w:r w:rsidR="00042E4D" w:rsidRPr="00EF0D18">
              <w:rPr>
                <w:rFonts w:ascii="Times New Roman" w:eastAsia="標楷體" w:hAnsi="Times New Roman" w:cs="Times New Roman"/>
                <w:szCs w:val="24"/>
              </w:rPr>
              <w:t>應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匹配現場熔融物</w:t>
            </w:r>
            <w:r w:rsidR="00042E4D" w:rsidRPr="00EF0D18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作業溫度</w:t>
            </w:r>
            <w:r w:rsidR="00042E4D" w:rsidRPr="00EF0D18">
              <w:rPr>
                <w:rFonts w:ascii="Times New Roman" w:eastAsia="標楷體" w:hAnsi="Times New Roman" w:cs="Times New Roman"/>
                <w:szCs w:val="24"/>
              </w:rPr>
              <w:t>與作業方式選用和穿戴適當的個人防護具</w:t>
            </w:r>
          </w:p>
        </w:tc>
      </w:tr>
      <w:tr w:rsidR="00EF0D18" w:rsidRPr="00EF0D18" w14:paraId="1E40315E" w14:textId="77777777" w:rsidTr="00FF2A66">
        <w:tc>
          <w:tcPr>
            <w:tcW w:w="2405" w:type="dxa"/>
          </w:tcPr>
          <w:p w14:paraId="0597FB29" w14:textId="0E15794E" w:rsidR="00666176" w:rsidRPr="00EF0D18" w:rsidRDefault="00C61C97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61C97">
              <w:rPr>
                <w:rFonts w:ascii="MS Gothic" w:eastAsia="MS Gothic" w:hAnsi="MS Gothic" w:cs="MS Gothic" w:hint="eastAsia"/>
              </w:rPr>
              <w:t>✦</w:t>
            </w:r>
            <w:r w:rsidR="00666176" w:rsidRPr="00EF0D18">
              <w:rPr>
                <w:rFonts w:ascii="Times New Roman" w:eastAsia="標楷體" w:hAnsi="Times New Roman" w:cs="Times New Roman"/>
              </w:rPr>
              <w:t>起爐熔煉作業中</w:t>
            </w:r>
            <w:r w:rsidR="00D4245E" w:rsidRPr="00EF0D18">
              <w:rPr>
                <w:rFonts w:ascii="Times New Roman" w:eastAsia="標楷體" w:hAnsi="Times New Roman" w:cs="Times New Roman"/>
              </w:rPr>
              <w:t>（以反射爐、感應電爐為例）</w:t>
            </w:r>
          </w:p>
        </w:tc>
        <w:tc>
          <w:tcPr>
            <w:tcW w:w="4565" w:type="dxa"/>
          </w:tcPr>
          <w:p w14:paraId="00FBB96C" w14:textId="6AB8CB2E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確認過程中製程參數與設施在正常範圍</w:t>
            </w:r>
            <w:proofErr w:type="gramStart"/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電壓電流值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5D1CCD7D" w14:textId="77777777" w:rsidR="00EA35DA" w:rsidRPr="00EF0D18" w:rsidRDefault="00EA35DA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7EAF438B" w14:textId="33F8904E" w:rsidR="00B41904" w:rsidRPr="00EF0D18" w:rsidRDefault="00B41904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E2127A" w:rsidRPr="00EF0D18">
              <w:rPr>
                <w:rFonts w:ascii="Times New Roman" w:eastAsia="標楷體" w:hAnsi="Times New Roman" w:cs="Times New Roman"/>
                <w:szCs w:val="24"/>
              </w:rPr>
              <w:t>爐具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冷卻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水系統功能正常，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過溫保護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措施正常，避免高溫危險</w:t>
            </w:r>
          </w:p>
          <w:p w14:paraId="51EE66F3" w14:textId="77777777" w:rsidR="00B41904" w:rsidRPr="00EF0D18" w:rsidRDefault="00B4190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328AF9BC" w14:textId="5AFE4D5A" w:rsidR="00666176" w:rsidRPr="00EF0D18" w:rsidRDefault="00666176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已指派專人監視爐火與熔煉狀況</w:t>
            </w:r>
          </w:p>
        </w:tc>
        <w:tc>
          <w:tcPr>
            <w:tcW w:w="3486" w:type="dxa"/>
          </w:tcPr>
          <w:p w14:paraId="347C0A6A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15A846D2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7C8F2D19" w14:textId="77777777" w:rsidR="00042E4D" w:rsidRPr="00EF0D18" w:rsidRDefault="00042E4D" w:rsidP="00042E4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081C93D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5E11D07F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89B70B9" w14:textId="6C787FD6" w:rsidR="00666176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提醒：應匹配現場熔融物，作業溫度與作業方式選用和穿戴適當的個人防護具</w:t>
            </w:r>
          </w:p>
        </w:tc>
      </w:tr>
      <w:tr w:rsidR="00EF0D18" w:rsidRPr="00EF0D18" w14:paraId="18FE546A" w14:textId="77777777" w:rsidTr="00FF2A66">
        <w:tc>
          <w:tcPr>
            <w:tcW w:w="2405" w:type="dxa"/>
          </w:tcPr>
          <w:p w14:paraId="1FB2938E" w14:textId="2CC45150" w:rsidR="00666176" w:rsidRPr="00EF0D18" w:rsidRDefault="00C61C97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61C97">
              <w:rPr>
                <w:rFonts w:ascii="MS Gothic" w:eastAsia="MS Gothic" w:hAnsi="MS Gothic" w:cs="MS Gothic" w:hint="eastAsia"/>
              </w:rPr>
              <w:t>✦</w:t>
            </w:r>
            <w:r w:rsidR="00666176" w:rsidRPr="00EF0D18">
              <w:rPr>
                <w:rFonts w:ascii="Times New Roman" w:eastAsia="標楷體" w:hAnsi="Times New Roman" w:cs="Times New Roman"/>
              </w:rPr>
              <w:t>起爐熔煉作業後</w:t>
            </w:r>
            <w:r w:rsidR="00D4245E" w:rsidRPr="00EF0D18">
              <w:rPr>
                <w:rFonts w:ascii="Times New Roman" w:eastAsia="標楷體" w:hAnsi="Times New Roman" w:cs="Times New Roman"/>
              </w:rPr>
              <w:t>（以反射爐、感應電爐為例）</w:t>
            </w:r>
          </w:p>
        </w:tc>
        <w:tc>
          <w:tcPr>
            <w:tcW w:w="4565" w:type="dxa"/>
          </w:tcPr>
          <w:p w14:paraId="62D19861" w14:textId="36241677" w:rsidR="00666176" w:rsidRPr="00EF0D18" w:rsidRDefault="00666176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確認製程參數與設施在正常範圍並予以復歸</w:t>
            </w:r>
            <w:proofErr w:type="gramStart"/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電壓電流值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="002D2C8B"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3AB74D02" w14:textId="77777777" w:rsidR="00E40B08" w:rsidRPr="00EF0D18" w:rsidRDefault="00E40B08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1DCFA2DF" w14:textId="2EF6D3A3" w:rsidR="00666176" w:rsidRPr="00EF0D18" w:rsidRDefault="00666176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E40B08" w:rsidRPr="00EF0D18">
              <w:rPr>
                <w:rFonts w:ascii="Times New Roman" w:eastAsia="標楷體" w:hAnsi="Times New Roman" w:cs="Times New Roman"/>
                <w:szCs w:val="24"/>
              </w:rPr>
              <w:t>人員有暴露於高溫或其他有害物之虞者，應置備安全衛生防護具，並使其確實使用【職業安全衛生設施規則第</w:t>
            </w:r>
            <w:r w:rsidR="00E40B08" w:rsidRPr="00EF0D18">
              <w:rPr>
                <w:rFonts w:ascii="Times New Roman" w:eastAsia="標楷體" w:hAnsi="Times New Roman" w:cs="Times New Roman"/>
                <w:szCs w:val="24"/>
              </w:rPr>
              <w:t>287</w:t>
            </w:r>
            <w:r w:rsidR="00E40B08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06C1E03F" w14:textId="77777777" w:rsidR="00E40B08" w:rsidRPr="00EF0D18" w:rsidRDefault="00E40B08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20D36F1A" w14:textId="77F5D685" w:rsidR="00666176" w:rsidRPr="00EF0D18" w:rsidRDefault="00666176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703A63" w:rsidRPr="00EF0D18">
              <w:rPr>
                <w:rFonts w:ascii="Times New Roman" w:eastAsia="標楷體" w:hAnsi="Times New Roman" w:cs="Times New Roman"/>
                <w:szCs w:val="24"/>
              </w:rPr>
              <w:t>確認熔煉爐與澆鑄</w:t>
            </w:r>
            <w:r w:rsidR="00E2127A" w:rsidRPr="00EF0D18">
              <w:rPr>
                <w:rFonts w:ascii="Times New Roman" w:eastAsia="標楷體" w:hAnsi="Times New Roman" w:cs="Times New Roman"/>
                <w:szCs w:val="24"/>
              </w:rPr>
              <w:t>模具</w:t>
            </w:r>
            <w:proofErr w:type="gramStart"/>
            <w:r w:rsidR="00703A63" w:rsidRPr="00EF0D18">
              <w:rPr>
                <w:rFonts w:ascii="Times New Roman" w:eastAsia="標楷體" w:hAnsi="Times New Roman" w:cs="Times New Roman"/>
                <w:szCs w:val="24"/>
              </w:rPr>
              <w:t>管道間的閘</w:t>
            </w:r>
            <w:proofErr w:type="gramEnd"/>
            <w:r w:rsidR="00703A63" w:rsidRPr="00EF0D18">
              <w:rPr>
                <w:rFonts w:ascii="Times New Roman" w:eastAsia="標楷體" w:hAnsi="Times New Roman" w:cs="Times New Roman"/>
                <w:szCs w:val="24"/>
              </w:rPr>
              <w:t>道在未進行澆鑄作業前維持關閉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，避免誤動作或</w:t>
            </w:r>
            <w:r w:rsidR="009213E5" w:rsidRPr="00EF0D18">
              <w:rPr>
                <w:rFonts w:ascii="Times New Roman" w:eastAsia="標楷體" w:hAnsi="Times New Roman" w:cs="Times New Roman"/>
                <w:szCs w:val="24"/>
              </w:rPr>
              <w:t>高溫</w:t>
            </w:r>
            <w:proofErr w:type="gramStart"/>
            <w:r w:rsidR="009213E5" w:rsidRPr="00EF0D18">
              <w:rPr>
                <w:rFonts w:ascii="Times New Roman" w:eastAsia="標楷體" w:hAnsi="Times New Roman" w:cs="Times New Roman"/>
                <w:szCs w:val="24"/>
              </w:rPr>
              <w:t>金屬液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溢流</w:t>
            </w:r>
            <w:proofErr w:type="gramEnd"/>
          </w:p>
        </w:tc>
        <w:tc>
          <w:tcPr>
            <w:tcW w:w="3486" w:type="dxa"/>
          </w:tcPr>
          <w:p w14:paraId="230EAD22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0514B1CB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36F064EE" w14:textId="77777777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8F42204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18C99ADE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A59FAFB" w14:textId="0946FEF5" w:rsidR="00E40B08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提醒：應匹配現場熔融物，作業溫度與作業方式選用和穿戴適當的個人防護具</w:t>
            </w:r>
          </w:p>
        </w:tc>
      </w:tr>
      <w:tr w:rsidR="00EF0D18" w:rsidRPr="00EF0D18" w14:paraId="7A92168D" w14:textId="77777777" w:rsidTr="00FF2A66">
        <w:tc>
          <w:tcPr>
            <w:tcW w:w="2405" w:type="dxa"/>
          </w:tcPr>
          <w:p w14:paraId="6FF92931" w14:textId="3342A6D3" w:rsidR="00666176" w:rsidRPr="00EF0D18" w:rsidRDefault="00C61C97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61C97">
              <w:rPr>
                <w:rFonts w:ascii="MS Gothic" w:eastAsia="MS Gothic" w:hAnsi="MS Gothic" w:cs="MS Gothic" w:hint="eastAsia"/>
              </w:rPr>
              <w:t>✦</w:t>
            </w:r>
            <w:r w:rsidR="00666176" w:rsidRPr="00EF0D18">
              <w:rPr>
                <w:rFonts w:ascii="Times New Roman" w:eastAsia="標楷體" w:hAnsi="Times New Roman" w:cs="Times New Roman"/>
              </w:rPr>
              <w:t>澆鑄作業前</w:t>
            </w:r>
            <w:r w:rsidR="009902D2" w:rsidRPr="00EF0D18">
              <w:rPr>
                <w:rFonts w:ascii="Times New Roman" w:eastAsia="標楷體" w:hAnsi="Times New Roman" w:cs="Times New Roman"/>
              </w:rPr>
              <w:t>（以鋁柱製造為例）</w:t>
            </w:r>
          </w:p>
        </w:tc>
        <w:tc>
          <w:tcPr>
            <w:tcW w:w="4565" w:type="dxa"/>
          </w:tcPr>
          <w:p w14:paraId="3CE87FB4" w14:textId="06AC9CC9" w:rsidR="002D18F5" w:rsidRPr="00EF0D18" w:rsidRDefault="002D18F5" w:rsidP="00666176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標楷體" w:eastAsia="標楷體" w:hAnsi="標楷體" w:hint="eastAsia"/>
                <w:szCs w:val="24"/>
              </w:rPr>
              <w:t>作業相關人員已完成安全衛生教育訓練與危害告知</w:t>
            </w:r>
            <w:proofErr w:type="gramStart"/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proofErr w:type="gramEnd"/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職業安全衛生教育訓練規則第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條；職業安全衛生法第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proofErr w:type="gramStart"/>
            <w:r w:rsidR="00BE6206" w:rsidRPr="00EF0D18"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  <w:proofErr w:type="gramEnd"/>
          </w:p>
          <w:p w14:paraId="17D28DC7" w14:textId="77777777" w:rsidR="002D18F5" w:rsidRPr="00EF0D18" w:rsidRDefault="002D18F5" w:rsidP="00666176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64E57344" w14:textId="27076F5D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確認製程參數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與設施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在正常範圍</w:t>
            </w:r>
            <w:proofErr w:type="gramStart"/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電壓</w:t>
            </w:r>
            <w:r w:rsidR="00231AC9" w:rsidRPr="00EF0D18">
              <w:rPr>
                <w:rFonts w:ascii="Times New Roman" w:eastAsia="標楷體" w:hAnsi="Times New Roman" w:cs="Times New Roman"/>
                <w:szCs w:val="24"/>
              </w:rPr>
              <w:t>電流值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水位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油壓系統</w:t>
            </w:r>
            <w:r w:rsidR="000E73F5" w:rsidRPr="00EF0D18">
              <w:rPr>
                <w:rFonts w:ascii="Times New Roman" w:eastAsia="標楷體" w:hAnsi="Times New Roman" w:cs="Times New Roman"/>
                <w:szCs w:val="24"/>
              </w:rPr>
              <w:t>或</w:t>
            </w:r>
            <w:proofErr w:type="gramStart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鍊</w:t>
            </w:r>
            <w:proofErr w:type="gramEnd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條狀況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="000932BB"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6B355165" w14:textId="77777777" w:rsidR="0083348E" w:rsidRPr="00EF0D18" w:rsidRDefault="0083348E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59989EE" w14:textId="7ED6227B" w:rsidR="0083348E" w:rsidRPr="00EF0D18" w:rsidRDefault="0083348E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E2127A" w:rsidRPr="00EF0D18">
              <w:rPr>
                <w:rFonts w:ascii="Times New Roman" w:eastAsia="標楷體" w:hAnsi="Times New Roman" w:cs="Times New Roman"/>
                <w:szCs w:val="24"/>
              </w:rPr>
              <w:t>澆鑄</w:t>
            </w:r>
            <w:r w:rsidR="009902D2" w:rsidRPr="00EF0D18">
              <w:rPr>
                <w:rFonts w:ascii="Times New Roman" w:eastAsia="標楷體" w:hAnsi="Times New Roman" w:cs="Times New Roman"/>
                <w:szCs w:val="24"/>
              </w:rPr>
              <w:t>模具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製程冷卻水功能正常，避免大量高溫</w:t>
            </w:r>
            <w:proofErr w:type="gramStart"/>
            <w:r w:rsidR="009902D2" w:rsidRPr="00EF0D18">
              <w:rPr>
                <w:rFonts w:ascii="Times New Roman" w:eastAsia="標楷體" w:hAnsi="Times New Roman" w:cs="Times New Roman"/>
                <w:szCs w:val="24"/>
              </w:rPr>
              <w:t>金屬液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遇水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發生水蒸氣爆炸的危險</w:t>
            </w:r>
          </w:p>
          <w:p w14:paraId="2CE39E56" w14:textId="77777777" w:rsidR="00E66124" w:rsidRPr="00EF0D18" w:rsidRDefault="00E6612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5183F415" w14:textId="14AC8F6E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確認熔融有接觸機械、器具或設備之高溫熱表面引起</w:t>
            </w:r>
            <w:proofErr w:type="gramStart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灼</w:t>
            </w:r>
            <w:proofErr w:type="gramEnd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燙傷之虞時，已設置警示標誌、適當之隔熱等必要安全設施【職業安全衛生設施規則第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725EA817" w14:textId="77777777" w:rsidR="00E66124" w:rsidRPr="00EF0D18" w:rsidRDefault="00E6612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72CE3C26" w14:textId="27AC9EDE" w:rsidR="0089509A" w:rsidRPr="00EF0D18" w:rsidRDefault="00666176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人員有暴露於高溫或其他有害物之虞者，應置備安全衛生防護具，並使其確實使用【職業安全衛生設施規則第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287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；個人防護具或防護器具，應依下列規定辦理：</w:t>
            </w:r>
          </w:p>
          <w:p w14:paraId="4E37B78C" w14:textId="6DF3414A" w:rsidR="00666176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一、保持清潔，並予必要之消毒。二、經常檢查，保持其性能，不用時並妥予保存。三、防護具或防護器具應準備足夠使用之數量，個人使用之防護具應置備與作業勞工人數相同或以上之數量，並以個人專用為原則。四、對勞工有感染疾病之虞時，應置備個人專用防護器具，或作預防感染疾病之措施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277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666A5CD1" w14:textId="77777777" w:rsidR="00E66124" w:rsidRPr="00EF0D18" w:rsidRDefault="00E6612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4A89619B" w14:textId="72D5D9FC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熔融高熱物之處理設備所在之建築物應有地板面</w:t>
            </w:r>
            <w:proofErr w:type="gramStart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積水及可以防止雨水由屋頂、牆壁、窗戶等</w:t>
            </w:r>
            <w:proofErr w:type="gramStart"/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滲入之構【職業安全衛生設施規則第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180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  <w:proofErr w:type="gramEnd"/>
          </w:p>
          <w:p w14:paraId="1E5ED0D9" w14:textId="77777777" w:rsidR="00E66124" w:rsidRPr="00EF0D18" w:rsidRDefault="00E6612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44AE2FF7" w14:textId="70E0E5A0" w:rsidR="00666176" w:rsidRPr="00EF0D18" w:rsidRDefault="00666176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現場已完成緊急應變設施（例如滅火設備，阻斷</w:t>
            </w:r>
            <w:r w:rsidR="00023B7A" w:rsidRPr="00EF0D18">
              <w:rPr>
                <w:rFonts w:ascii="Times New Roman" w:eastAsia="標楷體" w:hAnsi="Times New Roman" w:cs="Times New Roman"/>
                <w:szCs w:val="24"/>
              </w:rPr>
              <w:t>高溫金屬液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的開關閘門或</w:t>
            </w:r>
            <w:r w:rsidR="0073226A" w:rsidRPr="00EF0D18">
              <w:rPr>
                <w:rFonts w:ascii="Times New Roman" w:eastAsia="標楷體" w:hAnsi="Times New Roman" w:cs="Times New Roman"/>
                <w:szCs w:val="24"/>
              </w:rPr>
              <w:t>治</w:t>
            </w:r>
            <w:r w:rsidR="00E66124" w:rsidRPr="00EF0D18">
              <w:rPr>
                <w:rFonts w:ascii="Times New Roman" w:eastAsia="標楷體" w:hAnsi="Times New Roman" w:cs="Times New Roman"/>
                <w:szCs w:val="24"/>
              </w:rPr>
              <w:t>具），應變程序，人員熟知應變作法</w:t>
            </w:r>
            <w:r w:rsidR="0083348E" w:rsidRPr="00EF0D18">
              <w:rPr>
                <w:rFonts w:ascii="Times New Roman" w:eastAsia="標楷體" w:hAnsi="Times New Roman" w:cs="Times New Roman"/>
                <w:szCs w:val="24"/>
              </w:rPr>
              <w:t>【職業安全衛生管理辦法第</w:t>
            </w:r>
            <w:r w:rsidR="0083348E" w:rsidRPr="00EF0D18">
              <w:rPr>
                <w:rFonts w:ascii="Times New Roman" w:eastAsia="標楷體" w:hAnsi="Times New Roman" w:cs="Times New Roman"/>
                <w:szCs w:val="24"/>
              </w:rPr>
              <w:t>12-6</w:t>
            </w:r>
            <w:r w:rsidR="0083348E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；製程</w:t>
            </w:r>
            <w:r w:rsidR="00023B7A" w:rsidRPr="00EF0D18">
              <w:rPr>
                <w:rFonts w:ascii="Times New Roman" w:eastAsia="標楷體" w:hAnsi="Times New Roman" w:cs="Times New Roman"/>
                <w:szCs w:val="24"/>
              </w:rPr>
              <w:t>高溫金屬液</w:t>
            </w:r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流經管道應設有緊急排放之管道</w:t>
            </w:r>
            <w:proofErr w:type="gramStart"/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或槽體</w:t>
            </w:r>
            <w:proofErr w:type="gramEnd"/>
            <w:r w:rsidR="0089509A" w:rsidRPr="00EF0D18">
              <w:rPr>
                <w:rFonts w:ascii="Times New Roman" w:eastAsia="標楷體" w:hAnsi="Times New Roman" w:cs="Times New Roman"/>
                <w:szCs w:val="24"/>
              </w:rPr>
              <w:t>做為緊急時之排放與收集</w:t>
            </w:r>
          </w:p>
        </w:tc>
        <w:tc>
          <w:tcPr>
            <w:tcW w:w="3486" w:type="dxa"/>
          </w:tcPr>
          <w:p w14:paraId="1786A45E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235C6A37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6B89E93C" w14:textId="77777777" w:rsidR="0083348E" w:rsidRPr="00EF0D18" w:rsidRDefault="0083348E" w:rsidP="0083348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7B2FD9B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78B7E697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972F79C" w14:textId="7BD4FB46" w:rsidR="00666176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提醒：應匹配現場熔融物，作業溫度與作業方式選用和穿戴適當的個人防護具</w:t>
            </w:r>
          </w:p>
        </w:tc>
      </w:tr>
      <w:tr w:rsidR="00EF0D18" w:rsidRPr="00EF0D18" w14:paraId="7E7EDF43" w14:textId="77777777" w:rsidTr="00FF2A66">
        <w:tc>
          <w:tcPr>
            <w:tcW w:w="2405" w:type="dxa"/>
          </w:tcPr>
          <w:p w14:paraId="51781B3A" w14:textId="76710549" w:rsidR="00666176" w:rsidRPr="00EF0D18" w:rsidRDefault="00B16BC5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cs="Times New Roman"/>
              </w:rPr>
              <w:t>澆鑄作業中（以鋁柱製造為例）</w:t>
            </w:r>
          </w:p>
        </w:tc>
        <w:tc>
          <w:tcPr>
            <w:tcW w:w="4565" w:type="dxa"/>
          </w:tcPr>
          <w:p w14:paraId="1F0895D4" w14:textId="77F805F8" w:rsidR="0089509A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確認過程中製程參數與設施在正常範圍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電壓電流值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2768AACD" w14:textId="77777777" w:rsidR="0089509A" w:rsidRPr="00EF0D18" w:rsidRDefault="0089509A" w:rsidP="0089509A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41B0F5BC" w14:textId="77777777" w:rsidR="00B16BC5" w:rsidRPr="00EF0D18" w:rsidRDefault="00B16BC5" w:rsidP="00B16BC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確認澆鑄模具製程冷卻水功能正常，避免大量高溫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金屬液遇水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發生水蒸氣爆炸的危險</w:t>
            </w:r>
          </w:p>
          <w:p w14:paraId="36307508" w14:textId="77777777" w:rsidR="00B16BC5" w:rsidRPr="00EF0D18" w:rsidRDefault="00B16BC5" w:rsidP="0089509A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3BEDCCCF" w14:textId="55DBEBBF" w:rsidR="00E66124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已指派專人監視</w:t>
            </w:r>
            <w:r w:rsidR="0079439D" w:rsidRPr="00EF0D18">
              <w:rPr>
                <w:rFonts w:ascii="Times New Roman" w:eastAsia="標楷體" w:hAnsi="Times New Roman" w:cs="Times New Roman"/>
                <w:szCs w:val="24"/>
              </w:rPr>
              <w:t>澆鑄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狀況</w:t>
            </w:r>
          </w:p>
          <w:p w14:paraId="627DBEBD" w14:textId="77777777" w:rsidR="00E66124" w:rsidRPr="00EF0D18" w:rsidRDefault="00E66124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07B97197" w14:textId="32E27943" w:rsidR="00666176" w:rsidRPr="00EF0D18" w:rsidRDefault="00F770AD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處置大量高熱物之作業場所，為防止該高熱物之飛散、溢出等引起之灼傷或其他危害，應採取適當之防範措施，並使作業勞工佩戴適當之防護具【職業安全衛生設施規則第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183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7670B849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5D5AB756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7CDA8057" w14:textId="77777777" w:rsidR="00042E4D" w:rsidRPr="00EF0D18" w:rsidRDefault="00042E4D" w:rsidP="00042E4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D25702D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204D748C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0476872" w14:textId="567CDE9F" w:rsidR="00666176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提醒：應匹配現場熔融物，作業溫度與作業方式選用和穿戴適當的個人防護具</w:t>
            </w:r>
          </w:p>
        </w:tc>
      </w:tr>
      <w:tr w:rsidR="00EF0D18" w:rsidRPr="00EF0D18" w14:paraId="47370AE7" w14:textId="77777777" w:rsidTr="00FF2A66">
        <w:tc>
          <w:tcPr>
            <w:tcW w:w="2405" w:type="dxa"/>
          </w:tcPr>
          <w:p w14:paraId="6448054C" w14:textId="31E6DDFA" w:rsidR="00666176" w:rsidRPr="00EF0D18" w:rsidRDefault="00DB2875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B2875">
              <w:rPr>
                <w:rFonts w:ascii="MS Gothic" w:eastAsia="MS Gothic" w:hAnsi="MS Gothic" w:cs="MS Gothic" w:hint="eastAsia"/>
              </w:rPr>
              <w:t>✦</w:t>
            </w:r>
            <w:r w:rsidR="00B16BC5" w:rsidRPr="00EF0D18">
              <w:rPr>
                <w:rFonts w:ascii="Times New Roman" w:eastAsia="標楷體" w:hAnsi="Times New Roman" w:cs="Times New Roman"/>
              </w:rPr>
              <w:t>澆鑄作業後（以鋁柱製造為例）</w:t>
            </w:r>
          </w:p>
        </w:tc>
        <w:tc>
          <w:tcPr>
            <w:tcW w:w="4565" w:type="dxa"/>
          </w:tcPr>
          <w:p w14:paraId="496CD35B" w14:textId="238A0071" w:rsidR="002D2C8B" w:rsidRPr="00EF0D18" w:rsidRDefault="002D2C8B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確認製程參數與設施在正常範圍並予以復歸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例如溫度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壓力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流量</w:t>
            </w:r>
            <w:r w:rsidR="0002298C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電壓電流值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...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4B7516FD" w14:textId="77777777" w:rsidR="002D2C8B" w:rsidRPr="00EF0D18" w:rsidRDefault="002D2C8B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3A002D78" w14:textId="6EF516B5" w:rsidR="00666176" w:rsidRPr="00EF0D18" w:rsidRDefault="0089509A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處置大量高熱物之作業場所，為防止該高熱物之飛散、溢出等引起之灼傷或其他危害，應採取適當之防範措施，並使作業勞工佩戴適當之防護具【職業安全衛生設施規則第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183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4543F206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5AA8B089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4699A0B3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650678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0CB5E889" w14:textId="77777777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3DD2DE9" w14:textId="39A6996D" w:rsidR="002D2C8B" w:rsidRPr="00EF0D18" w:rsidRDefault="002D2C8B" w:rsidP="002D2C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提醒：應匹配現場熔融物，作業溫度與作業方式選用和穿戴適當的個人防護具</w:t>
            </w:r>
          </w:p>
        </w:tc>
      </w:tr>
      <w:tr w:rsidR="00EF0D18" w:rsidRPr="00EF0D18" w14:paraId="13CAFBDE" w14:textId="77777777" w:rsidTr="00FF2A66">
        <w:tc>
          <w:tcPr>
            <w:tcW w:w="2405" w:type="dxa"/>
          </w:tcPr>
          <w:p w14:paraId="3E936C80" w14:textId="3D3EB894" w:rsidR="002B6961" w:rsidRPr="00EF0D18" w:rsidRDefault="002B6961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cs="Times New Roman"/>
              </w:rPr>
              <w:t>吊運作業前</w:t>
            </w:r>
            <w:r w:rsidR="008D7091" w:rsidRPr="00EF0D18">
              <w:rPr>
                <w:rFonts w:ascii="Times New Roman" w:eastAsia="標楷體" w:hAnsi="Times New Roman" w:cs="Times New Roman"/>
              </w:rPr>
              <w:t>（以鋁柱製造為例）</w:t>
            </w:r>
          </w:p>
        </w:tc>
        <w:tc>
          <w:tcPr>
            <w:tcW w:w="4565" w:type="dxa"/>
          </w:tcPr>
          <w:p w14:paraId="129C9A13" w14:textId="6072A076" w:rsidR="002D18F5" w:rsidRPr="00EF0D18" w:rsidRDefault="002D18F5" w:rsidP="00DA424B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起重機操作人員已完成教育訓練具備操作資格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若固定式起重機吊升荷重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≥3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公噸時，必須具備三公噸以上固定式重機操作人員資格證明）</w:t>
            </w:r>
            <w:r w:rsidRPr="00EF0D18">
              <w:rPr>
                <w:rFonts w:ascii="標楷體" w:eastAsia="標楷體" w:hAnsi="標楷體" w:hint="eastAsia"/>
                <w:szCs w:val="24"/>
              </w:rPr>
              <w:t>與危害告知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【職業安全衛生教育訓練規則第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；職業安全衛生法第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】</w:t>
            </w:r>
            <w:proofErr w:type="gramEnd"/>
          </w:p>
          <w:p w14:paraId="5F0502D9" w14:textId="77777777" w:rsidR="002D18F5" w:rsidRPr="00EF0D18" w:rsidRDefault="002D18F5" w:rsidP="00DA424B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2FC0ED57" w14:textId="6D0495D2" w:rsidR="0089509A" w:rsidRPr="00EF0D18" w:rsidRDefault="0089509A" w:rsidP="00DA42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起重機具運轉作業時，為防止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吊掛物掉落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，應依下列規定辦理：一、吊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掛物使用吊耳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時，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吊耳設置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位置及數量，應能確保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吊掛物之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平衡。二、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吊耳與吊掛物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之結合方式，應能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承受所吊物體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之整體重量，使其不致脫落。三、使用吊索（繩）、吊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籃等吊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掛用具或載具時，應有足夠強度。【職業安全衛生設施規則第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92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175DDE7A" w14:textId="77777777" w:rsidR="0089509A" w:rsidRPr="00EF0D18" w:rsidRDefault="0089509A" w:rsidP="0089509A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072CA6D2" w14:textId="281CB031" w:rsidR="0089509A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起重機具所使用之吊掛構件，應使其具足夠強度，使用之吊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鉤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或</w:t>
            </w:r>
            <w:proofErr w:type="gramStart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鉤</w:t>
            </w:r>
            <w:proofErr w:type="gramEnd"/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環及附屬零件，其斷裂荷重與所承受之最大荷重比之安全係數，應在四以上。但相關法規另有規定者，從其規定【職業安全衛生設施規則第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97</w:t>
            </w:r>
            <w:r w:rsidR="00DA424B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25B26766" w14:textId="77777777" w:rsidR="00DA424B" w:rsidRPr="00EF0D18" w:rsidRDefault="00DA424B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97A5CE6" w14:textId="45FC29D0" w:rsidR="00DA424B" w:rsidRPr="00EF0D18" w:rsidRDefault="00DA424B" w:rsidP="00DA42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作為起重升降機具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之吊鏈不得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有下述情形：一、延伸長度超過百分之五以上者。二、斷面直徑減少百分之十以上者。三、有龜裂者。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98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11F437BB" w14:textId="77777777" w:rsidR="0089509A" w:rsidRPr="00EF0D18" w:rsidRDefault="0089509A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71F19ABD" w14:textId="4B8D43ED" w:rsidR="00DA424B" w:rsidRPr="00EF0D18" w:rsidRDefault="00DA424B" w:rsidP="00DA42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B87A64" w:rsidRPr="00EF0D18">
              <w:rPr>
                <w:rFonts w:ascii="Times New Roman" w:eastAsia="標楷體" w:hAnsi="Times New Roman" w:cs="Times New Roman"/>
                <w:szCs w:val="24"/>
              </w:rPr>
              <w:t>作為起重升降機具之鋼索不得有下述情形：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一、鋼索一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撚間有百分之十以上素線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截斷者。二、直徑減少達公稱直徑百分之七以上者。三、有顯著變形或腐蝕者。四、已扭結者。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99</w:t>
            </w:r>
            <w:r w:rsidR="001164E8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62D50106" w14:textId="77777777" w:rsidR="00DA424B" w:rsidRPr="00EF0D18" w:rsidRDefault="00DA424B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07D76EDE" w14:textId="36642B3D" w:rsidR="001164E8" w:rsidRPr="00EF0D18" w:rsidRDefault="001164E8" w:rsidP="001164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作為起重升降機具之纖維索、帶不得有下述情形：一、已斷一股子索者。</w:t>
            </w:r>
          </w:p>
          <w:p w14:paraId="1678389C" w14:textId="248A36E6" w:rsidR="001164E8" w:rsidRPr="00EF0D18" w:rsidRDefault="001164E8" w:rsidP="001164E8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二、有顯著之損傷或腐蝕者。【職業安全衛生設施規則第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101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1C7A6D76" w14:textId="77777777" w:rsidR="001164E8" w:rsidRPr="00EF0D18" w:rsidRDefault="001164E8" w:rsidP="00666176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38B636DA" w14:textId="323DB14B" w:rsidR="00E64A09" w:rsidRPr="00EF0D18" w:rsidRDefault="001164E8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不得使用已變形或已龜裂之吊</w:t>
            </w:r>
            <w:proofErr w:type="gramStart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鉤</w:t>
            </w:r>
            <w:proofErr w:type="gramEnd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proofErr w:type="gramStart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鉤</w:t>
            </w:r>
            <w:proofErr w:type="gramEnd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環、</w:t>
            </w:r>
            <w:proofErr w:type="gramStart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鏈環，</w:t>
            </w:r>
            <w:proofErr w:type="gramEnd"/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作為起重升降機具之吊掛用具【職業安全衛生設施規則第</w:t>
            </w:r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0F79DB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104CFCC4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7489AEDC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531DDB9B" w14:textId="77777777" w:rsidR="002D6BD7" w:rsidRPr="00EF0D18" w:rsidRDefault="002D6BD7" w:rsidP="002D6BD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B7EA9AB" w14:textId="77777777" w:rsidR="002D6BD7" w:rsidRPr="00EF0D18" w:rsidRDefault="002D6BD7" w:rsidP="002D6BD7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053FCF3B" w14:textId="77777777" w:rsidR="002D6BD7" w:rsidRPr="00EF0D18" w:rsidRDefault="002D6BD7" w:rsidP="002D6BD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163268E" w14:textId="7E521DC6" w:rsidR="002B6961" w:rsidRPr="00EF0D18" w:rsidRDefault="002D6BD7" w:rsidP="002D6BD7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提醒：應匹配現場作業方式選用和穿戴適當的個人防護具</w:t>
            </w:r>
          </w:p>
        </w:tc>
      </w:tr>
      <w:tr w:rsidR="00EF0D18" w:rsidRPr="00EF0D18" w14:paraId="60F27ACB" w14:textId="77777777" w:rsidTr="00FF2A66">
        <w:tc>
          <w:tcPr>
            <w:tcW w:w="2405" w:type="dxa"/>
          </w:tcPr>
          <w:p w14:paraId="3AFCC440" w14:textId="59E273E8" w:rsidR="002B6961" w:rsidRPr="00EF0D18" w:rsidRDefault="008D7091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cs="Times New Roman"/>
              </w:rPr>
              <w:t>吊運作業中（以鋁柱製造為例）</w:t>
            </w:r>
          </w:p>
        </w:tc>
        <w:tc>
          <w:tcPr>
            <w:tcW w:w="4565" w:type="dxa"/>
          </w:tcPr>
          <w:p w14:paraId="510D5532" w14:textId="5D3911B1" w:rsidR="0089509A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起重機具運轉</w:t>
            </w:r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時採取防止</w:t>
            </w:r>
            <w:proofErr w:type="gramStart"/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吊掛物通過</w:t>
            </w:r>
            <w:proofErr w:type="gramEnd"/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人員上方及人員進入</w:t>
            </w:r>
            <w:proofErr w:type="gramStart"/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吊掛物下方</w:t>
            </w:r>
            <w:proofErr w:type="gramEnd"/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之設備或措施。【職業安全衛生設施規則第</w:t>
            </w:r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92</w:t>
            </w:r>
            <w:r w:rsidR="00911540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078A467E" w14:textId="77777777" w:rsidR="0089509A" w:rsidRPr="00EF0D18" w:rsidRDefault="0089509A" w:rsidP="0089509A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0E018C84" w14:textId="7C0F5D43" w:rsidR="002B6961" w:rsidRPr="00EF0D18" w:rsidRDefault="0089509A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起重機具作業區域應予以區隔</w:t>
            </w:r>
            <w:r w:rsidR="008D7091" w:rsidRPr="00EF0D1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適當安全圍籬，禁止非相關人員進入</w:t>
            </w:r>
            <w:r w:rsidR="00691B1A" w:rsidRPr="00EF0D1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486" w:type="dxa"/>
          </w:tcPr>
          <w:p w14:paraId="5E85F71E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546628A4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0B18FD68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8BE3D92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154CEC20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C785F72" w14:textId="430B322F" w:rsidR="002B6961" w:rsidRPr="00EF0D18" w:rsidRDefault="001A7E82" w:rsidP="001A7E82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提醒：應匹配現場作業方式選用和穿戴適當的個人防護具</w:t>
            </w:r>
          </w:p>
        </w:tc>
      </w:tr>
      <w:tr w:rsidR="00EF0D18" w:rsidRPr="00EF0D18" w14:paraId="7CE396E9" w14:textId="77777777" w:rsidTr="00FF2A66">
        <w:tc>
          <w:tcPr>
            <w:tcW w:w="2405" w:type="dxa"/>
          </w:tcPr>
          <w:p w14:paraId="1F3924C4" w14:textId="7ABE3E9A" w:rsidR="002B6961" w:rsidRPr="00EF0D18" w:rsidRDefault="009F3FAF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cs="Times New Roman"/>
              </w:rPr>
              <w:t>堆放</w:t>
            </w:r>
            <w:r w:rsidR="00EA2058" w:rsidRPr="00EF0D18">
              <w:rPr>
                <w:rFonts w:ascii="Times New Roman" w:eastAsia="標楷體" w:hAnsi="Times New Roman" w:cs="Times New Roman"/>
              </w:rPr>
              <w:t>作業</w:t>
            </w:r>
            <w:r w:rsidRPr="00EF0D18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565" w:type="dxa"/>
          </w:tcPr>
          <w:p w14:paraId="39FF5425" w14:textId="77777777" w:rsidR="002D18F5" w:rsidRPr="00EF0D18" w:rsidRDefault="002D18F5" w:rsidP="002D18F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堆高機操作人員已完成教育訓練具備操作資格</w:t>
            </w:r>
            <w:r w:rsidRPr="00EF0D18">
              <w:rPr>
                <w:rFonts w:ascii="標楷體" w:eastAsia="標楷體" w:hAnsi="標楷體" w:hint="eastAsia"/>
                <w:szCs w:val="24"/>
              </w:rPr>
              <w:t>與危害告知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【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職業安全衛生教育訓練規則第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；職業安全衛生法第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  <w:r w:rsidRPr="00EF0D18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】</w:t>
            </w:r>
            <w:proofErr w:type="gramEnd"/>
          </w:p>
          <w:p w14:paraId="08EE5353" w14:textId="77777777" w:rsidR="002D18F5" w:rsidRPr="00EF0D18" w:rsidRDefault="002D18F5" w:rsidP="0089509A">
            <w:pPr>
              <w:rPr>
                <w:rFonts w:asciiTheme="minorEastAsia" w:hAnsiTheme="minorEastAsia" w:cs="Times New Roman"/>
                <w:spacing w:val="28"/>
                <w:szCs w:val="24"/>
              </w:rPr>
            </w:pPr>
          </w:p>
          <w:p w14:paraId="63B27FFA" w14:textId="5F6D8E06" w:rsidR="0089509A" w:rsidRPr="00EF0D18" w:rsidRDefault="0089509A" w:rsidP="00895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堆高機已完成自動檢查【職業安全衛生管理辦法第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A52E2" w:rsidRPr="00EF0D1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1A7E82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632D8ADC" w14:textId="77777777" w:rsidR="00EE20B5" w:rsidRPr="00EF0D18" w:rsidRDefault="00EE20B5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E444699" w14:textId="0F814FA6" w:rsidR="00EE20B5" w:rsidRPr="00EF0D18" w:rsidRDefault="00EE20B5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使用堆高機搬運堆放的物料運輸路線，應妥善規劃，並作標示。【職業安全衛生設施規則第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155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648935B4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7EDE31BF" w14:textId="77777777" w:rsidR="00C31C34" w:rsidRPr="00EF0D18" w:rsidRDefault="00C31C34" w:rsidP="00C31C34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2CC2E804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C4BAA35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0DCD9B68" w14:textId="77777777" w:rsidR="001A7E82" w:rsidRPr="00EF0D18" w:rsidRDefault="001A7E82" w:rsidP="001A7E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C553BCA" w14:textId="3334EA6C" w:rsidR="002B6961" w:rsidRPr="00EF0D18" w:rsidRDefault="001A7E82" w:rsidP="001A7E82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</w:t>
            </w:r>
            <w:r w:rsidR="00BF4689" w:rsidRPr="00EF0D18">
              <w:rPr>
                <w:rFonts w:ascii="Times New Roman" w:eastAsia="標楷體" w:hAnsi="Times New Roman" w:cs="Times New Roman"/>
                <w:szCs w:val="24"/>
              </w:rPr>
              <w:t>使用堆高機時人員應將座位安全帶</w:t>
            </w:r>
            <w:proofErr w:type="gramStart"/>
            <w:r w:rsidR="00BF4689" w:rsidRPr="00EF0D18">
              <w:rPr>
                <w:rFonts w:ascii="Times New Roman" w:eastAsia="標楷體" w:hAnsi="Times New Roman" w:cs="Times New Roman"/>
                <w:szCs w:val="24"/>
              </w:rPr>
              <w:t>繫</w:t>
            </w:r>
            <w:proofErr w:type="gramEnd"/>
            <w:r w:rsidR="00BF4689" w:rsidRPr="00EF0D18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</w:tr>
      <w:tr w:rsidR="00EF0D18" w:rsidRPr="00EF0D18" w14:paraId="467F92CC" w14:textId="77777777" w:rsidTr="00FF2A66">
        <w:tc>
          <w:tcPr>
            <w:tcW w:w="2405" w:type="dxa"/>
          </w:tcPr>
          <w:p w14:paraId="47030B31" w14:textId="6F74A622" w:rsidR="00BF4689" w:rsidRPr="00EF0D18" w:rsidRDefault="009F3FAF" w:rsidP="0066617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cs="Times New Roman"/>
              </w:rPr>
              <w:t>堆放作業</w:t>
            </w:r>
            <w:r w:rsidR="001275DE" w:rsidRPr="00EF0D18">
              <w:rPr>
                <w:rFonts w:ascii="Times New Roman" w:eastAsia="標楷體" w:hAnsi="Times New Roman" w:cs="Times New Roman"/>
              </w:rPr>
              <w:t>中</w:t>
            </w:r>
          </w:p>
        </w:tc>
        <w:tc>
          <w:tcPr>
            <w:tcW w:w="4565" w:type="dxa"/>
          </w:tcPr>
          <w:p w14:paraId="361D3526" w14:textId="77777777" w:rsidR="009F3FAF" w:rsidRPr="00EF0D18" w:rsidRDefault="009F3FAF" w:rsidP="009F3F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堆高機之操作，不得超過該機械所能承受之最大荷重，且其載運之貨物應保持穩固狀態，防止翻倒【職業安全衛生設施規則第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127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  <w:p w14:paraId="29E30304" w14:textId="77777777" w:rsidR="009F3FAF" w:rsidRPr="00EF0D18" w:rsidRDefault="009F3FAF" w:rsidP="0046367E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  <w:p w14:paraId="5AD13296" w14:textId="48596E23" w:rsidR="00BF4689" w:rsidRPr="00EF0D18" w:rsidRDefault="00BF4689" w:rsidP="0046367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搬運、堆放或處置物料</w:t>
            </w:r>
            <w:r w:rsidR="0046367E" w:rsidRPr="00EF0D18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，為防止倒塌、崩塌或掉落，應採取繩索捆綁、護網、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擋樁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、限制高度或變更堆積等必要設施，並禁止與作業無關人員進入該等場所</w:t>
            </w:r>
            <w:r w:rsidR="0046367E" w:rsidRPr="00EF0D18">
              <w:rPr>
                <w:rFonts w:ascii="Times New Roman" w:eastAsia="標楷體" w:hAnsi="Times New Roman" w:cs="Times New Roman"/>
                <w:szCs w:val="24"/>
              </w:rPr>
              <w:t>【職業安全衛生設施規則第</w:t>
            </w:r>
            <w:r w:rsidR="0046367E" w:rsidRPr="00EF0D18">
              <w:rPr>
                <w:rFonts w:ascii="Times New Roman" w:eastAsia="標楷體" w:hAnsi="Times New Roman" w:cs="Times New Roman"/>
                <w:szCs w:val="24"/>
              </w:rPr>
              <w:t>153</w:t>
            </w:r>
            <w:r w:rsidR="0046367E" w:rsidRPr="00EF0D18">
              <w:rPr>
                <w:rFonts w:ascii="Times New Roman" w:eastAsia="標楷體" w:hAnsi="Times New Roman" w:cs="Times New Roman"/>
                <w:szCs w:val="24"/>
              </w:rPr>
              <w:t>條】</w:t>
            </w:r>
          </w:p>
        </w:tc>
        <w:tc>
          <w:tcPr>
            <w:tcW w:w="3486" w:type="dxa"/>
          </w:tcPr>
          <w:p w14:paraId="40A1498F" w14:textId="77777777" w:rsidR="0046367E" w:rsidRPr="00EF0D18" w:rsidRDefault="0046367E" w:rsidP="0046367E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合格</w:t>
            </w:r>
          </w:p>
          <w:p w14:paraId="068FC706" w14:textId="77777777" w:rsidR="0046367E" w:rsidRPr="00EF0D18" w:rsidRDefault="0046367E" w:rsidP="0046367E">
            <w:pPr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  <w:r w:rsidRPr="00EF0D18">
              <w:rPr>
                <w:rFonts w:asciiTheme="minorEastAsia" w:hAnsiTheme="minorEastAsia" w:cs="Times New Roman"/>
                <w:spacing w:val="28"/>
                <w:szCs w:val="24"/>
              </w:rPr>
              <w:t>□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不合格，原因：</w:t>
            </w:r>
            <w:r w:rsidRPr="00EF0D18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38759FE5" w14:textId="77777777" w:rsidR="0046367E" w:rsidRPr="00EF0D18" w:rsidRDefault="0046367E" w:rsidP="0046367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C1D3C53" w14:textId="77777777" w:rsidR="00BF4689" w:rsidRPr="00EF0D18" w:rsidRDefault="0046367E" w:rsidP="0066617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檢查者簽名：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</w:t>
            </w:r>
          </w:p>
          <w:p w14:paraId="739A7F03" w14:textId="77777777" w:rsidR="009F3FAF" w:rsidRPr="00EF0D18" w:rsidRDefault="009F3FAF" w:rsidP="0066617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268E91E4" w14:textId="09077E8B" w:rsidR="009F3FAF" w:rsidRPr="00EF0D18" w:rsidRDefault="009F3FAF" w:rsidP="006661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szCs w:val="24"/>
              </w:rPr>
              <w:t>提醒：使用堆高機時人員應將座位安全帶</w:t>
            </w:r>
            <w:proofErr w:type="gramStart"/>
            <w:r w:rsidRPr="00EF0D18">
              <w:rPr>
                <w:rFonts w:ascii="Times New Roman" w:eastAsia="標楷體" w:hAnsi="Times New Roman" w:cs="Times New Roman"/>
                <w:szCs w:val="24"/>
              </w:rPr>
              <w:t>繫</w:t>
            </w:r>
            <w:proofErr w:type="gramEnd"/>
            <w:r w:rsidRPr="00EF0D18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</w:tr>
      <w:tr w:rsidR="00EF0D18" w:rsidRPr="00EF0D18" w14:paraId="050BCF37" w14:textId="77777777" w:rsidTr="00497087">
        <w:tc>
          <w:tcPr>
            <w:tcW w:w="10456" w:type="dxa"/>
            <w:gridSpan w:val="3"/>
          </w:tcPr>
          <w:p w14:paraId="6755A684" w14:textId="77777777" w:rsidR="00FC3ECC" w:rsidRPr="00EF0D18" w:rsidRDefault="00FC3ECC" w:rsidP="00FC3EC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664D82C" w14:textId="15C5FBB2" w:rsidR="0046367E" w:rsidRPr="00EF0D18" w:rsidRDefault="0046367E" w:rsidP="00FC3EC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EF0D18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完成上述檢查後，</w:t>
            </w:r>
            <w:proofErr w:type="gramStart"/>
            <w:r w:rsidRPr="00EF0D18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請交現場</w:t>
            </w:r>
            <w:proofErr w:type="gramEnd"/>
            <w:r w:rsidRPr="00EF0D18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主管簽名：</w:t>
            </w:r>
            <w:r w:rsidRPr="00EF0D18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_______________</w:t>
            </w:r>
          </w:p>
          <w:p w14:paraId="2EC98BFA" w14:textId="1629963D" w:rsidR="00FC3ECC" w:rsidRPr="00EF0D18" w:rsidRDefault="00FC3ECC" w:rsidP="00FC3ECC">
            <w:pPr>
              <w:jc w:val="center"/>
              <w:rPr>
                <w:rFonts w:ascii="Times New Roman" w:eastAsia="標楷體" w:hAnsi="Times New Roman" w:cs="Times New Roman"/>
                <w:spacing w:val="28"/>
              </w:rPr>
            </w:pPr>
          </w:p>
        </w:tc>
      </w:tr>
      <w:tr w:rsidR="00070E24" w:rsidRPr="00EF0D18" w14:paraId="5BE59ECD" w14:textId="77777777" w:rsidTr="00CF6D1A">
        <w:tc>
          <w:tcPr>
            <w:tcW w:w="10456" w:type="dxa"/>
            <w:gridSpan w:val="3"/>
          </w:tcPr>
          <w:p w14:paraId="44BECFCE" w14:textId="77777777" w:rsidR="00EF0D18" w:rsidRPr="00EF0D18" w:rsidRDefault="00EF0D18" w:rsidP="00EF0D18">
            <w:pPr>
              <w:rPr>
                <w:rFonts w:ascii="Times New Roman" w:eastAsia="標楷體" w:hAnsi="Times New Roman"/>
              </w:rPr>
            </w:pPr>
            <w:r w:rsidRPr="00EF0D18">
              <w:rPr>
                <w:rFonts w:ascii="Times New Roman" w:eastAsia="標楷體" w:hAnsi="Times New Roman" w:hint="eastAsia"/>
              </w:rPr>
              <w:t>備註：</w:t>
            </w:r>
          </w:p>
          <w:p w14:paraId="6736FA6F" w14:textId="7F34CD2A" w:rsidR="00EF0D18" w:rsidRPr="00EF0D18" w:rsidRDefault="00EF0D18" w:rsidP="00DB2875">
            <w:pPr>
              <w:ind w:left="163" w:hangingChars="68" w:hanging="163"/>
              <w:rPr>
                <w:rFonts w:ascii="Times New Roman" w:eastAsia="標楷體" w:hAnsi="Times New Roman"/>
              </w:rPr>
            </w:pPr>
            <w:r w:rsidRPr="00EF0D18">
              <w:rPr>
                <w:rFonts w:ascii="Times New Roman" w:eastAsia="標楷體" w:hAnsi="Times New Roman" w:hint="eastAsia"/>
              </w:rPr>
              <w:t>1.</w:t>
            </w:r>
            <w:r w:rsidRPr="00EF0D18">
              <w:rPr>
                <w:rFonts w:ascii="Times New Roman" w:eastAsia="標楷體" w:hAnsi="Times New Roman" w:hint="eastAsia"/>
              </w:rPr>
              <w:t>表單係節錄相關法規法令規定供參，事業單位應依照實際作業的安全衛生風險後進行評估，並</w:t>
            </w:r>
            <w:proofErr w:type="gramStart"/>
            <w:r w:rsidRPr="00EF0D18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EF0D18">
              <w:rPr>
                <w:rFonts w:ascii="Times New Roman" w:eastAsia="標楷體" w:hAnsi="Times New Roman" w:hint="eastAsia"/>
              </w:rPr>
              <w:t>有效管控措施進行現場安全衛生管理。</w:t>
            </w:r>
          </w:p>
          <w:p w14:paraId="7E569D83" w14:textId="0F03FD9C" w:rsidR="002D2C8B" w:rsidRPr="00EF0D18" w:rsidRDefault="00EF0D18" w:rsidP="00DB2875">
            <w:pPr>
              <w:ind w:left="163" w:hangingChars="68" w:hanging="163"/>
              <w:rPr>
                <w:rFonts w:ascii="Times New Roman" w:eastAsia="標楷體" w:hAnsi="Times New Roman" w:cs="Times New Roman"/>
              </w:rPr>
            </w:pPr>
            <w:r w:rsidRPr="00EF0D18">
              <w:rPr>
                <w:rFonts w:ascii="Times New Roman" w:eastAsia="標楷體" w:hAnsi="Times New Roman" w:hint="eastAsia"/>
              </w:rPr>
              <w:t>2.</w:t>
            </w:r>
            <w:r w:rsidRPr="00EF0D18">
              <w:rPr>
                <w:rFonts w:ascii="Times New Roman" w:eastAsia="標楷體" w:hAnsi="Times New Roman" w:hint="eastAsia"/>
              </w:rPr>
              <w:t>此檢核表需經事業單位授權之主責人員簽章，並留存標</w:t>
            </w:r>
            <w:proofErr w:type="gramStart"/>
            <w:r w:rsidRPr="00EF0D18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="00DB2875" w:rsidRPr="00DB2875">
              <w:rPr>
                <w:rFonts w:ascii="MS Gothic" w:eastAsia="MS Gothic" w:hAnsi="MS Gothic" w:cs="MS Gothic" w:hint="eastAsia"/>
              </w:rPr>
              <w:t>✦</w:t>
            </w:r>
            <w:r w:rsidRPr="00EF0D18">
              <w:rPr>
                <w:rFonts w:ascii="Times New Roman" w:eastAsia="標楷體" w:hAnsi="Times New Roman" w:hint="eastAsia"/>
              </w:rPr>
              <w:t>之檢核項目佐證照片以供備查，相關紀錄應保存三年。</w:t>
            </w:r>
          </w:p>
        </w:tc>
      </w:tr>
    </w:tbl>
    <w:p w14:paraId="41640515" w14:textId="77777777" w:rsidR="00E016F8" w:rsidRPr="00DB2875" w:rsidRDefault="00E016F8">
      <w:pPr>
        <w:rPr>
          <w:rFonts w:ascii="Times New Roman" w:hAnsi="Times New Roman" w:cs="Times New Roman"/>
        </w:rPr>
      </w:pPr>
    </w:p>
    <w:sectPr w:rsidR="00E016F8" w:rsidRPr="00DB2875" w:rsidSect="00E8793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4DDC" w14:textId="77777777" w:rsidR="00E87933" w:rsidRDefault="00E87933" w:rsidP="00E016F8">
      <w:r>
        <w:separator/>
      </w:r>
    </w:p>
  </w:endnote>
  <w:endnote w:type="continuationSeparator" w:id="0">
    <w:p w14:paraId="7D0F57B4" w14:textId="77777777" w:rsidR="00E87933" w:rsidRDefault="00E87933" w:rsidP="00E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348862"/>
      <w:docPartObj>
        <w:docPartGallery w:val="Page Numbers (Bottom of Page)"/>
        <w:docPartUnique/>
      </w:docPartObj>
    </w:sdtPr>
    <w:sdtContent>
      <w:p w14:paraId="2C1439E5" w14:textId="1363381C" w:rsidR="006D4D37" w:rsidRDefault="006D4D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14636AC" w14:textId="77777777" w:rsidR="006D4D37" w:rsidRDefault="006D4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E620" w14:textId="77777777" w:rsidR="00E87933" w:rsidRDefault="00E87933" w:rsidP="00E016F8">
      <w:r>
        <w:separator/>
      </w:r>
    </w:p>
  </w:footnote>
  <w:footnote w:type="continuationSeparator" w:id="0">
    <w:p w14:paraId="09040FFA" w14:textId="77777777" w:rsidR="00E87933" w:rsidRDefault="00E87933" w:rsidP="00E0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815"/>
    <w:multiLevelType w:val="hybridMultilevel"/>
    <w:tmpl w:val="1ABC267A"/>
    <w:lvl w:ilvl="0" w:tplc="F9E0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168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28"/>
    <w:rsid w:val="0002298C"/>
    <w:rsid w:val="00023B7A"/>
    <w:rsid w:val="000405A2"/>
    <w:rsid w:val="00042E4D"/>
    <w:rsid w:val="00070E24"/>
    <w:rsid w:val="00072131"/>
    <w:rsid w:val="000932BB"/>
    <w:rsid w:val="000E73F5"/>
    <w:rsid w:val="000F79DB"/>
    <w:rsid w:val="001164E8"/>
    <w:rsid w:val="00122CCA"/>
    <w:rsid w:val="001275DE"/>
    <w:rsid w:val="001A7E82"/>
    <w:rsid w:val="001D6CDA"/>
    <w:rsid w:val="001F32F9"/>
    <w:rsid w:val="00231AC9"/>
    <w:rsid w:val="002B6961"/>
    <w:rsid w:val="002D18F5"/>
    <w:rsid w:val="002D2C8B"/>
    <w:rsid w:val="002D4A15"/>
    <w:rsid w:val="002D6BD7"/>
    <w:rsid w:val="002F559E"/>
    <w:rsid w:val="002F6459"/>
    <w:rsid w:val="00333EEE"/>
    <w:rsid w:val="00360B82"/>
    <w:rsid w:val="003C782F"/>
    <w:rsid w:val="0046367E"/>
    <w:rsid w:val="00591751"/>
    <w:rsid w:val="005D7128"/>
    <w:rsid w:val="00602685"/>
    <w:rsid w:val="006221EF"/>
    <w:rsid w:val="00666176"/>
    <w:rsid w:val="00691B1A"/>
    <w:rsid w:val="00691DBA"/>
    <w:rsid w:val="006C5342"/>
    <w:rsid w:val="006D4D37"/>
    <w:rsid w:val="006E679C"/>
    <w:rsid w:val="00703A63"/>
    <w:rsid w:val="0073226A"/>
    <w:rsid w:val="00751AC4"/>
    <w:rsid w:val="0079439D"/>
    <w:rsid w:val="007A52E2"/>
    <w:rsid w:val="007E2C7A"/>
    <w:rsid w:val="0083348E"/>
    <w:rsid w:val="00843DD5"/>
    <w:rsid w:val="0089509A"/>
    <w:rsid w:val="00896CF8"/>
    <w:rsid w:val="008C2EC1"/>
    <w:rsid w:val="008D7091"/>
    <w:rsid w:val="00911540"/>
    <w:rsid w:val="009213E5"/>
    <w:rsid w:val="00935FDE"/>
    <w:rsid w:val="009902D2"/>
    <w:rsid w:val="00996193"/>
    <w:rsid w:val="009A3AEF"/>
    <w:rsid w:val="009F3FAF"/>
    <w:rsid w:val="009F631A"/>
    <w:rsid w:val="00A22D5C"/>
    <w:rsid w:val="00A320F8"/>
    <w:rsid w:val="00A3433B"/>
    <w:rsid w:val="00A86CDA"/>
    <w:rsid w:val="00AA574A"/>
    <w:rsid w:val="00AD02A7"/>
    <w:rsid w:val="00AF058F"/>
    <w:rsid w:val="00B16BC5"/>
    <w:rsid w:val="00B41904"/>
    <w:rsid w:val="00B85289"/>
    <w:rsid w:val="00B87A64"/>
    <w:rsid w:val="00BE6206"/>
    <w:rsid w:val="00BF4689"/>
    <w:rsid w:val="00C07232"/>
    <w:rsid w:val="00C12A73"/>
    <w:rsid w:val="00C31C34"/>
    <w:rsid w:val="00C4525D"/>
    <w:rsid w:val="00C61C97"/>
    <w:rsid w:val="00CA28FA"/>
    <w:rsid w:val="00CD18D2"/>
    <w:rsid w:val="00D4245E"/>
    <w:rsid w:val="00D549C6"/>
    <w:rsid w:val="00D56DE8"/>
    <w:rsid w:val="00D96CEE"/>
    <w:rsid w:val="00DA424B"/>
    <w:rsid w:val="00DB2875"/>
    <w:rsid w:val="00DB3714"/>
    <w:rsid w:val="00E016F8"/>
    <w:rsid w:val="00E2127A"/>
    <w:rsid w:val="00E40B08"/>
    <w:rsid w:val="00E64A09"/>
    <w:rsid w:val="00E66124"/>
    <w:rsid w:val="00E87933"/>
    <w:rsid w:val="00EA2058"/>
    <w:rsid w:val="00EA35DA"/>
    <w:rsid w:val="00EC02F6"/>
    <w:rsid w:val="00EE20B5"/>
    <w:rsid w:val="00EF0D18"/>
    <w:rsid w:val="00F509AF"/>
    <w:rsid w:val="00F647E2"/>
    <w:rsid w:val="00F770AD"/>
    <w:rsid w:val="00F8306F"/>
    <w:rsid w:val="00FA5D7A"/>
    <w:rsid w:val="00FC3ECC"/>
    <w:rsid w:val="00FD4C05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15A1D"/>
  <w15:chartTrackingRefBased/>
  <w15:docId w15:val="{67B33A5B-4198-46AF-9CB7-D409FD0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6F8"/>
    <w:rPr>
      <w:sz w:val="20"/>
      <w:szCs w:val="20"/>
    </w:rPr>
  </w:style>
  <w:style w:type="table" w:styleId="a7">
    <w:name w:val="Table Grid"/>
    <w:basedOn w:val="a1"/>
    <w:uiPriority w:val="39"/>
    <w:rsid w:val="00E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2A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2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0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4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4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16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3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0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7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4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0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8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仁傑 狄</cp:lastModifiedBy>
  <cp:revision>2</cp:revision>
  <cp:lastPrinted>2024-05-02T01:43:00Z</cp:lastPrinted>
  <dcterms:created xsi:type="dcterms:W3CDTF">2024-05-02T09:36:00Z</dcterms:created>
  <dcterms:modified xsi:type="dcterms:W3CDTF">2024-05-02T09:36:00Z</dcterms:modified>
</cp:coreProperties>
</file>