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5"/>
        <w:tblW w:w="111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1215"/>
        <w:gridCol w:w="1985"/>
        <w:gridCol w:w="1701"/>
        <w:gridCol w:w="708"/>
        <w:gridCol w:w="709"/>
        <w:gridCol w:w="709"/>
        <w:gridCol w:w="1575"/>
        <w:gridCol w:w="1402"/>
      </w:tblGrid>
      <w:tr w:rsidR="00F9298E" w:rsidRPr="00F9298E" w14:paraId="1EB46B52" w14:textId="77777777" w:rsidTr="00CE7D15">
        <w:trPr>
          <w:trHeight w:val="33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E2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受評估單位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551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XXXXX科，共40項危害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59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評估日期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0B7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1090928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32D" w14:textId="689E239F" w:rsidR="00F9298E" w:rsidRPr="00F9298E" w:rsidRDefault="00776027" w:rsidP="00CE7D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單位評估</w:t>
            </w:r>
            <w:bookmarkStart w:id="0" w:name="_GoBack"/>
            <w:bookmarkEnd w:id="0"/>
          </w:p>
          <w:p w14:paraId="7B82F8D9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91A56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不可忍受：8項</w:t>
            </w:r>
          </w:p>
          <w:p w14:paraId="7084258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高：16項</w:t>
            </w:r>
          </w:p>
          <w:p w14:paraId="18A0B19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中：10項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67C8D58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低：6項</w:t>
            </w:r>
          </w:p>
        </w:tc>
      </w:tr>
      <w:tr w:rsidR="00F9298E" w:rsidRPr="00F9298E" w14:paraId="5E6074FE" w14:textId="77777777" w:rsidTr="00CE7D15">
        <w:trPr>
          <w:trHeight w:val="330"/>
        </w:trPr>
        <w:tc>
          <w:tcPr>
            <w:tcW w:w="11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30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單位(科式)負責人員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A2B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職員 AAA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C6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協評人員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DB2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防護小組</w:t>
            </w:r>
          </w:p>
          <w:p w14:paraId="7248356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OOO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736558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C58C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67061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2E703F99" w14:textId="77777777" w:rsidTr="00CE7D15">
        <w:trPr>
          <w:trHeight w:val="345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24BE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F5926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BF59F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AC767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(四)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7090D0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(五)</w:t>
            </w:r>
          </w:p>
        </w:tc>
      </w:tr>
      <w:tr w:rsidR="00F9298E" w:rsidRPr="00F9298E" w14:paraId="041BA25C" w14:textId="77777777" w:rsidTr="00CE7D15">
        <w:trPr>
          <w:trHeight w:val="675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A7BA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作業名稱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34791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辨識危害及後果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3D339B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現有防護狀況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1A869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評估風險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D69B96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將低風險之措施</w:t>
            </w:r>
          </w:p>
        </w:tc>
      </w:tr>
      <w:tr w:rsidR="00F9298E" w:rsidRPr="00F9298E" w14:paraId="4516D9BD" w14:textId="77777777" w:rsidTr="00CE7D15">
        <w:trPr>
          <w:trHeight w:val="675"/>
        </w:trPr>
        <w:tc>
          <w:tcPr>
            <w:tcW w:w="11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0673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B08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作業內容情形說明(含硬體軟體)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C19F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可能發生之危害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090EA4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10F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嚴重性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947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可能性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DA2A" w14:textId="77777777" w:rsidR="00F9298E" w:rsidRPr="00F9298E" w:rsidRDefault="00F9298E" w:rsidP="00CE7D1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9298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風險等級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A29E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9298E" w:rsidRPr="00F9298E" w14:paraId="750DF1B2" w14:textId="77777777" w:rsidTr="00CE7D15">
        <w:trPr>
          <w:trHeight w:val="330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BF87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監視器維護</w:t>
            </w:r>
          </w:p>
          <w:p w14:paraId="18668CD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(4種危害：</w:t>
            </w:r>
          </w:p>
          <w:p w14:paraId="31352D9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不可忍受3項，高1項))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35A9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攀爬梯子、A梯、移動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長梯對電線桿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、路燈、建築物附掛之監視器進行調整、更換。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7563C8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墜落：因梯子未靠好、底部沒有防滑橡膠、梯子角度過小、踩踏過高而因重心過高致梯子翻覆墜落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25DB8D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安全帽、兩人一組作業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0885B0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1A113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13187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9E4A86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符合職業安全衛生設施規則229-230規定之梯子。</w:t>
            </w:r>
          </w:p>
          <w:p w14:paraId="0B9DC07D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移動梯架好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後，先確認地面平整，並於人員攀爬時下方人員攙扶。</w:t>
            </w:r>
          </w:p>
          <w:p w14:paraId="3DEE2BAA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確實使用安全帽</w:t>
            </w:r>
          </w:p>
        </w:tc>
      </w:tr>
      <w:tr w:rsidR="00F9298E" w:rsidRPr="00F9298E" w14:paraId="212237C4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E2AC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D057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877DE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感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1F5A7F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839664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</w:t>
            </w:r>
            <w:r w:rsidRPr="00F9298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1495F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9C91F9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3CD7997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攀爬梯子前，使用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驗電筆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確認燈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桿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無帶電；附掛之任何金屬外殼、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固定條皆先以驗電筆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驗證無電。</w:t>
            </w:r>
          </w:p>
          <w:p w14:paraId="7CBE3CE4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確實穿著好橡膠底部之鞋子，並確認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移動梯腳橡膠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無破損。</w:t>
            </w:r>
          </w:p>
          <w:p w14:paraId="2932E905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採購並確實使用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防感電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手套。</w:t>
            </w:r>
          </w:p>
        </w:tc>
      </w:tr>
      <w:tr w:rsidR="00F9298E" w:rsidRPr="00F9298E" w14:paraId="68BEC6BC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C2109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3B8D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1D6E23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被往來車輛撞擊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BB1A7E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交通錐、反光背心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834B2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E6989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578C40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5042A9C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確實要求人員使用交通指示用具及反光背心。</w:t>
            </w:r>
          </w:p>
          <w:p w14:paraId="6BE3911D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避開車流大之時間作業。</w:t>
            </w:r>
          </w:p>
          <w:p w14:paraId="1442FBB3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將自有車輛擋在車流來之方向。</w:t>
            </w:r>
          </w:p>
        </w:tc>
      </w:tr>
      <w:tr w:rsidR="00F9298E" w:rsidRPr="00F9298E" w14:paraId="51A984AE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B09C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36F0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969DD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桿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倒塌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C31C2C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人員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作業前目視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桿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是否龜裂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C093FF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E7455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85AE79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273DB1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目視確認後如有疑問或恐龜裂等，電話1911向台電確認或請台電營業處直接派員。(高雄營業處、鳳山營業處)</w:t>
            </w:r>
          </w:p>
        </w:tc>
      </w:tr>
      <w:tr w:rsidR="00F9298E" w:rsidRPr="00F9298E" w14:paraId="576F71FA" w14:textId="77777777" w:rsidTr="00CE7D15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3FA4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戶口普查</w:t>
            </w:r>
          </w:p>
          <w:p w14:paraId="03B635D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(3種危害：不可忍</w:t>
            </w: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受2項，高1項)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3B3E5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逐戶訪視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家庭組成人員及數量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23D0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交通事故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D328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安全帽、保險、公務車輛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4C2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24F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3615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1AFEC3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對人員出勤時間之查核，使人員於工作時間不至過長。</w:t>
            </w:r>
          </w:p>
          <w:p w14:paraId="30AC2761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科室內成立互相查驗小組，確認同仁精神狀況良好。</w:t>
            </w:r>
          </w:p>
        </w:tc>
      </w:tr>
      <w:tr w:rsidR="00F9298E" w:rsidRPr="00F9298E" w14:paraId="32D60E2A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776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16C19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D25F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遭受訪民眾進行暴力(言語、肢體)之行為。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5DDA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識別證、公務電話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52B9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AE4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8B2E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F360D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依照職業安全衛生設施規則324-3對普查人員進行詳細之不法侵害預防措施。高風險人員造冊、訂定不法侵害處理原則、轄區通報、單位內事件通報處理原則、人員訓練等。</w:t>
            </w:r>
          </w:p>
        </w:tc>
      </w:tr>
      <w:tr w:rsidR="00F9298E" w:rsidRPr="00F9298E" w14:paraId="65B09AA0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2BB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A4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29CE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跌倒、撞擊 (於民眾所住之建築體內、外之環境發生行徑間之傷害)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AB18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手電筒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267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735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  <w:r w:rsidRPr="00F9298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63E1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92417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排定訓練使員工對現場危害有所認知，以避免人員無法辨識危害。</w:t>
            </w:r>
          </w:p>
          <w:p w14:paraId="79CA6C7B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提供臨時照明工具使人員進出現場。</w:t>
            </w:r>
          </w:p>
        </w:tc>
      </w:tr>
      <w:tr w:rsidR="00F9298E" w:rsidRPr="00F9298E" w14:paraId="1E70B354" w14:textId="77777777" w:rsidTr="00CE7D15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28D45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OO中心現場新建工程查驗</w:t>
            </w:r>
          </w:p>
          <w:p w14:paraId="10674D9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(11種危害：不可忍受1項，高6項，中3項，低1項)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7C1D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不定期於OO中心進行工程查核(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第一期土建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及結構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期間)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873385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交通事故(工程車輛進出、土方挖掘車載)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745D53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交管人員、車輛人員區分動線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10CCB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8A2B0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7A154E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34305F3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現場已以交通阻隔截斷人員與車輛接觸之機率。</w:t>
            </w:r>
          </w:p>
          <w:p w14:paraId="0D480190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持續要求現場車輛確實遵照指示，查驗人員不得違反現場規定。</w:t>
            </w:r>
          </w:p>
        </w:tc>
      </w:tr>
      <w:tr w:rsidR="00F9298E" w:rsidRPr="00F9298E" w14:paraId="2DFC196E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9C51F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1504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9710AE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物體飛落（高處堆置物體飛落、吊掛物飛落）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0BB533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現場人員停止作業、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吊掛區隔離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、安全帽、現場監造指示（人員走道）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738FD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62DDF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CE9132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48FDC1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提高人員警覺，進入現場時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先目視動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線上方是否有吊掛作業或結構體是否有凸出堆置物。</w:t>
            </w:r>
          </w:p>
        </w:tc>
      </w:tr>
      <w:tr w:rsidR="00F9298E" w:rsidRPr="00F9298E" w14:paraId="79FDDC10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68631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DF97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348261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衝撞（吊掛結構物及物料品質查驗時造吊掛物遭撞）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1EA34B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安全帽、查核區內作業、吊掛作業行程停止後查驗物料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F5540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A6756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2F3B66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AAA800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查核物料時避開吊掛作業進行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期間，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並請現場人員確實停止作業。</w:t>
            </w:r>
          </w:p>
        </w:tc>
      </w:tr>
      <w:tr w:rsidR="00F9298E" w:rsidRPr="00F9298E" w14:paraId="7DF00B51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F03E1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A979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8E6BEF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墜落（結構物組配查驗）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73909A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現場工地主任帶領、安全帽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33680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2A24F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0D8E47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C13657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人員除工程專業外，另接受足夠之危害訓練，現場對安全設備不足之部分，立即要求現場改善。</w:t>
            </w:r>
          </w:p>
          <w:p w14:paraId="1E4E9FA5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對有墜落之虞之現場且現場配有安全帶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勾掛處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，確實使用安全帶並預先接受訓練。</w:t>
            </w:r>
          </w:p>
          <w:p w14:paraId="494F2FF8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使用無人機進行查驗。</w:t>
            </w:r>
          </w:p>
        </w:tc>
      </w:tr>
      <w:tr w:rsidR="00F9298E" w:rsidRPr="00F9298E" w14:paraId="7F932909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EF148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3E48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993B6C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踩踏、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踏穿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；被刺、割、擦傷（現場鐵釘、物料尖銳物）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2D8147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人員配置安全防穿刺鞋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95CBC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B88EF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251F14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CA2E0B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提供安全帽、防護眼鏡、防穿刺手套，並確實使人員使用。</w:t>
            </w:r>
          </w:p>
        </w:tc>
      </w:tr>
      <w:tr w:rsidR="00F9298E" w:rsidRPr="00F9298E" w14:paraId="592382E5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9A41B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7143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不定期於OO中心進行工程查核(第二期室內裝修)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12F77E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感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518489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驗電筆、防感電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A68B7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42668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563DF0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36EBEF1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避開現場線路過於雜亂之區域，並請現場作業人員確實完成線路整理，並清除積水區域。</w:t>
            </w:r>
          </w:p>
          <w:p w14:paraId="2AA00961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進入金屬材質之區域，隨時使用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驗電筆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查驗。</w:t>
            </w:r>
          </w:p>
          <w:p w14:paraId="5894A24F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每人配購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工作鞋外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，另配予雨鞋、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橡膠鞋套</w:t>
            </w:r>
            <w:proofErr w:type="gramEnd"/>
          </w:p>
        </w:tc>
      </w:tr>
      <w:tr w:rsidR="00F9298E" w:rsidRPr="00F9298E" w14:paraId="1A957192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16EF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046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F70CB9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衝撞(手推油壓拖板車)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5401FB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反光背心、安全帽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0DE64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491FF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85C3A9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53FC5D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近期少見該類災害，於查驗時轉角慢行。</w:t>
            </w:r>
          </w:p>
        </w:tc>
      </w:tr>
      <w:tr w:rsidR="00F9298E" w:rsidRPr="00F9298E" w14:paraId="75FE22DC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2A4C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990F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A6A04D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與高溫接觸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0490BD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手套、教育訓練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581F7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BC8C8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466D20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7954ED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對現場設備之作用，先與現場人員確認，並請現場專業人員說明使得查驗設備。</w:t>
            </w:r>
          </w:p>
        </w:tc>
      </w:tr>
      <w:tr w:rsidR="00F9298E" w:rsidRPr="00F9298E" w14:paraId="1322DD67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8C37D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674B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8F7786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跌倒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8D1DF3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防滑鞋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6CB00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AA944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506378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A8E60C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已為可接受風險，惟須持續對人員進行訓練並確實使用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安全鞋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F9298E" w:rsidRPr="00F9298E" w14:paraId="6BEEEF32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94739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4148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834EF6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火災(室內裝潢時期常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有塗噴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、有機溶劑等易燃燒物之作業)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1D183F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於工程規劃時防火規劃、設備已列入包商之查驗內容內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C02EA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CAEF8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453B14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9C4190D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要求監造單位確實列管並查驗。</w:t>
            </w:r>
          </w:p>
          <w:p w14:paraId="3301ED07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單位內部同仁確實接受訓練。</w:t>
            </w:r>
          </w:p>
        </w:tc>
      </w:tr>
      <w:tr w:rsidR="00F9298E" w:rsidRPr="00F9298E" w14:paraId="0D8DB813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5B403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B129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6C4DC7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踩踏、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踏穿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；被刺、割、擦傷（現場鐵釘、物料尖銳物）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94A57E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人員配置安全防穿刺鞋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1C472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E2D9E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8CEE70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48215D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提供安全帽、防護眼鏡、防穿刺手套，並確實使人員使用。</w:t>
            </w:r>
          </w:p>
        </w:tc>
      </w:tr>
      <w:tr w:rsidR="00F9298E" w:rsidRPr="00F9298E" w14:paraId="2770C502" w14:textId="77777777" w:rsidTr="00CE7D15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5CE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公文交換、使用</w:t>
            </w:r>
          </w:p>
          <w:p w14:paraId="4A873BD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(5種危害，高1項,中3項,低1項)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F9CF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機關內之公文往來、運送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5A53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墜落、滾落(檔案區使用梯子進行高處檔案拿取)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027F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料架最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高處堆放為200公分，梯子最高60公分。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FC2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964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9CC0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5F9A5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確使使用之梯子合格穩固。</w:t>
            </w:r>
          </w:p>
          <w:p w14:paraId="5CE7107F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同仁間確認身體狀況。確實要求同仁回報不舒服之情形。</w:t>
            </w:r>
          </w:p>
        </w:tc>
      </w:tr>
      <w:tr w:rsidR="00F9298E" w:rsidRPr="00F9298E" w14:paraId="276AF665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B4A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18EC6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198F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物體倒塌、崩塌(檔案於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物料架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，堆置物品崩塌)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6E18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限制堆疊高度、人員堆疊方式確認平整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B3A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30E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87F7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E832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6E02B883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B382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807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D2DD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被夾、被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捲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(物料夾、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移動式料架殘餘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壓力造成壓夾；其他人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進入取料時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勿操作壓力吧把手)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4733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卻使轉動把手停止、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物料架停止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後進入堆疊區作業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C95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AED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0D8B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E666C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新增料架指示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旗，人員進入料架走道時，確實使用指示旗，使其他進入之人員不會誤操作</w:t>
            </w:r>
          </w:p>
        </w:tc>
      </w:tr>
      <w:tr w:rsidR="00F9298E" w:rsidRPr="00F9298E" w14:paraId="2DAD9B82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D64F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7167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一般資料堆疊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4EE9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崩塌、倒塌(公文過多、審查資料堆疊過高、個人儲存資料過多而堆疊過高且未有固定而倒塌)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32660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提供有足夠之OA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櫃並定期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依規定銷毀。</w:t>
            </w:r>
          </w:p>
          <w:p w14:paraId="348123D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B36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9C9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6E1D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E3C94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科室主管定期察看同仁環境。</w:t>
            </w:r>
          </w:p>
        </w:tc>
      </w:tr>
      <w:tr w:rsidR="00F9298E" w:rsidRPr="00F9298E" w14:paraId="6E657EAC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3A79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0BC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D5C2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物體飛落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5516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高於頭部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之櫃體上方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不得放置散裝之資料且不得放置不平整、過重之資料箱、物體。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EBA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577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4CB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35BB7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依市府環境規定，物料確實放置於櫃體內，上方不得放置物體。</w:t>
            </w:r>
          </w:p>
        </w:tc>
      </w:tr>
      <w:tr w:rsidR="00F9298E" w:rsidRPr="00F9298E" w14:paraId="5EBFD67E" w14:textId="77777777" w:rsidTr="00CE7D15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B9806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機關內駕駛</w:t>
            </w:r>
          </w:p>
          <w:p w14:paraId="557FA2E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(3種危害：高1項，中2項)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8FCD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機關業務進行之專業駕駛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42983A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其他(因待命及工時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過長促發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心血管疾病)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7AD521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月總公時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包含待命時間為195小時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326EA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CBEF0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69D009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2D3530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月加班工時約20小時，遠低於職業促發心血管疾病之46小時狀況。確認未有連續工作超過6天或單日出勤超過12小時之情形。</w:t>
            </w:r>
          </w:p>
          <w:p w14:paraId="415E6E72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定期健康檢查、依照單位內之過負荷評估進行人員之過負荷評估。(職業安全衛生設施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規則第324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-2條)</w:t>
            </w:r>
          </w:p>
        </w:tc>
      </w:tr>
      <w:tr w:rsidR="00F9298E" w:rsidRPr="00F9298E" w14:paraId="5912E097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9479C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00D7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1E0C5E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其他(同仁間之不法侵害事件)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715EF8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933DD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B7A69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67EA7A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3F27F8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依照職業安全衛生設施規則324-3對駕駛進行詳細之不法侵害預防措施。隨時確認不法侵害處理原則訂定情形、轄區通報、單位內事件通報處理原則、人員訓練等。</w:t>
            </w:r>
          </w:p>
        </w:tc>
      </w:tr>
      <w:tr w:rsidR="00F9298E" w:rsidRPr="00F9298E" w14:paraId="08A6280C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3EE17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B64B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C32E6C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交通事故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7CCC35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車輛檢查、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無酒駕確認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、駕駛精神狀況確認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6E2F3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16A95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36C918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717D72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4B1D7B53" w14:textId="77777777" w:rsidTr="00CE7D15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1A4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針劑注射</w:t>
            </w:r>
          </w:p>
          <w:p w14:paraId="670B8E9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(2種危害：高2項)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A730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包含治療為目的之藥劑注射、預防疾病為目的</w:t>
            </w: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之預防針注射 (不含整理或清洗器械、抽血、縫合、拆線、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體液或組織樣本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樣、處理廢棄物、清除廢棄物等)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AA4A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被刺(藥劑瓶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等拆頭之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玻璃物品刺傷、未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觸碰受注射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者之</w:t>
            </w: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皮膚之針頭有感染之虞之針扎事件)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BC32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每人皆需有足夠之訓練、對新進人員之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訓練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排成造冊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列管、藥</w:t>
            </w: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劑觸碰緊急處置訓練、禁止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雙手回套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、遮蔽是注射針等各種安全設計注射針、尖銳物收納桶、確實指示家屬、同仁控制受注射者、針扎感染預防處置流程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A91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522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3071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94F42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定期對人員進行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尖銳物扎傷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處理流程之訓練。並對新進人員之感染控制訓練進行管制。</w:t>
            </w:r>
          </w:p>
          <w:p w14:paraId="6C671F0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3D2A7822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0F2B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84C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2D37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其他(不法侵害之預防：家屬及病人之行為)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8378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單位完全執行不法侵害之災害預防程序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1D1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0C1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38BF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4CA89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於遭遇不法侵害時，請安全人員盡速於現場避免災害擴大，後續確實執行人員狀況追蹤。</w:t>
            </w:r>
          </w:p>
          <w:p w14:paraId="06EC955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76D4170E" w14:textId="77777777" w:rsidTr="00CE7D15">
        <w:trPr>
          <w:trHeight w:val="315"/>
        </w:trPr>
        <w:tc>
          <w:tcPr>
            <w:tcW w:w="118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4F936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環境積水、孑孓查察</w:t>
            </w:r>
            <w:r w:rsidRPr="00F9298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br/>
            </w: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(5種危害)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6DB9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民宅平面之積水、蚊蟲幼蟲存在狀況確認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1B21AE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感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電(現場民宅電線破損、金屬物體帶電、工區電線內部裸露、地面積水帶電)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8BEBF7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乳膠手套、雨鞋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C5521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EB05D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74CAA1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32697D7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提供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驗電筆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，並對同仁進行訓練。</w:t>
            </w:r>
          </w:p>
          <w:p w14:paraId="1A9BD844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因乳膠手套之絕緣性不足，另提供小組絕緣手套，並對同仁進行使用手套之時機訓練。</w:t>
            </w:r>
          </w:p>
          <w:p w14:paraId="67C47547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教育訓練告知人員進入潮濕場所時應先要求現場屋主、受查驗者先行關閉電器、開關。</w:t>
            </w:r>
          </w:p>
        </w:tc>
      </w:tr>
      <w:tr w:rsidR="00F9298E" w:rsidRPr="00F9298E" w14:paraId="0782BE4A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185745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CDEC6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1F3E6D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墜落、滾落(使用梯子查看夾層、攀爬屋頂、浪板、鐵皮屋頂已查看屋頂之天溝、凹陷處之積水狀況，而自梯子墜落、踩破塑膠、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非硬質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之堅硬結構材質)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4ECA140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車上皆配置30.5公分*80公分之踏板並有設置防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滑踏階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及於踏板下方安裝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防滑條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，一組配置為8塊(人員皆有訓練)，並尋找穩固之窗框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安裝防墜夾具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74F2DC8E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現場無法使用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踏階時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請OO單位調派高空作業車及吊車搭乘設備(人員皆有受訓)。</w:t>
            </w:r>
          </w:p>
          <w:p w14:paraId="2404184B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安全帽、帶確實使用。</w:t>
            </w:r>
          </w:p>
          <w:p w14:paraId="4C24AD84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單位內四組查驗小組，編制有5組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空拍機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218A9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CF142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6441C3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FA545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夾層等無法使用高空車、吊車搭乘設備之區域，協調現場安裝女兒牆、安全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防墜母鎖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後，使用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捲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揚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式防撞器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配合背負式安全帶使用。</w:t>
            </w:r>
          </w:p>
        </w:tc>
      </w:tr>
      <w:tr w:rsidR="00F9298E" w:rsidRPr="00F9298E" w14:paraId="60AED769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DCADC5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74166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28C3F9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熱危害(戶外高氣溫，熱經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攣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、熱衰竭、熱昏厥、熱中暑)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9714DD8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人員健康檢查皆有定期檢查。</w:t>
            </w:r>
          </w:p>
          <w:p w14:paraId="2AC408D9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每組皆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3人以上共同作業。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943B3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B039F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5ABBCA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8710DF0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訂定緊急應變訓練，並使每班知悉查驗區域之緊急通報電話、醫院。</w:t>
            </w:r>
          </w:p>
          <w:p w14:paraId="64307DA9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領隊人員確認出勤前所有人員皆有攜帶足夠水分。</w:t>
            </w:r>
          </w:p>
          <w:p w14:paraId="3351B58E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於出勤前詢問所有人精神狀況，並查看人員之個人遮陽、遮蔽衣物是否足夠。</w:t>
            </w:r>
          </w:p>
        </w:tc>
      </w:tr>
      <w:tr w:rsidR="00F9298E" w:rsidRPr="00F9298E" w14:paraId="5E8784A4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E8AB44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32FF8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181C1E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物體破裂、與有害物之接觸(查驗容器時破裂造成其內細菌孳生之積水、化學品噴濺致使感染、灼傷)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9F95971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以單位提供之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勺具撈取採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樣水源為主。</w:t>
            </w:r>
          </w:p>
          <w:p w14:paraId="4DE934AB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乳膠手套(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包覆至手臂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)、已辦理容器查驗原則之訓練。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965E3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A817A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8A02EB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42C320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39B23FD3" w14:textId="77777777" w:rsidTr="00CE7D15">
        <w:trPr>
          <w:trHeight w:val="315"/>
        </w:trPr>
        <w:tc>
          <w:tcPr>
            <w:tcW w:w="11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FF8629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EC157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A00A72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交通事故(於道路遭車輛撞擊)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618BDE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反光背心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B59F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F6E79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C1E7E5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8E0BEC5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加強同仁安全意識，多人小組一同作業。</w:t>
            </w:r>
          </w:p>
          <w:p w14:paraId="41036123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小組內皆清楚交通事故發生時之處理方法。</w:t>
            </w:r>
          </w:p>
        </w:tc>
      </w:tr>
      <w:tr w:rsidR="00F9298E" w:rsidRPr="00F9298E" w14:paraId="1B5B888D" w14:textId="77777777" w:rsidTr="00CE7D15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75FC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常用電器維護</w:t>
            </w:r>
          </w:p>
          <w:p w14:paraId="7B319B1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(4種危害)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FC9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工作場所高處常用電器</w:t>
            </w: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自行維護、更換作業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450C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墜落(壁上、天花板、輕鋼架上之線路查看、更換)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B6656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具有防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滑腳且合格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之A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字梯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3D91EA1A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攀爬之人員使用安全帽。</w:t>
            </w:r>
          </w:p>
          <w:p w14:paraId="21CEC0D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89FF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S2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DB8D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928D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F6E14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兩人作業小組並確實扶持梯子</w:t>
            </w:r>
          </w:p>
          <w:p w14:paraId="35EEF026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當需更換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範圍過大，交由合格之水電公司承攬。</w:t>
            </w:r>
          </w:p>
          <w:p w14:paraId="2A7FB773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人員確實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攀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爬離合梯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，並禁止攀爬至其他平台、輕鋼架上</w:t>
            </w:r>
          </w:p>
          <w:p w14:paraId="00AD81DC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不坐於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合梯最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上方。</w:t>
            </w:r>
          </w:p>
        </w:tc>
      </w:tr>
      <w:tr w:rsidR="00F9298E" w:rsidRPr="00F9298E" w14:paraId="39568A93" w14:textId="77777777" w:rsidTr="00CE7D15">
        <w:trPr>
          <w:trHeight w:val="330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2427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D23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A722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感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電(線路破損直接於電器處漏電、高處金屬結構接觸漏電處導致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上方鋼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架區域帶電)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9E0E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關閉電器開關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6D76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155F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CBC2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不可忍受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7A0312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確實將維修電器之線路</w:t>
            </w:r>
            <w:proofErr w:type="gramStart"/>
            <w:r w:rsidRPr="00F9298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”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電箱</w:t>
            </w:r>
            <w:proofErr w:type="gramStart"/>
            <w:r w:rsidRPr="00F9298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”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內開關關閉。</w:t>
            </w:r>
          </w:p>
          <w:p w14:paraId="7FD4B582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購買非接觸式感應驗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電筆並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確實指導所有人員使用。</w:t>
            </w:r>
          </w:p>
          <w:p w14:paraId="1E44329E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維修由專責人員管理並指派作業人員、會同協助人員，並由作業人員確實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簽領安全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設備、護具。</w:t>
            </w:r>
          </w:p>
        </w:tc>
      </w:tr>
      <w:tr w:rsidR="00F9298E" w:rsidRPr="00F9298E" w14:paraId="763488A1" w14:textId="77777777" w:rsidTr="00CE7D15">
        <w:trPr>
          <w:trHeight w:val="330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F059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54F3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BB12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物體飛落(遭上方放置之工具、建築結構附屬物、更換物件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掉落壓砸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8721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安全帽使用。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E11C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C0FE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9DA6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DC1C3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協助人員接取更換物，且下方人員確實佩戴安全帽。</w:t>
            </w:r>
          </w:p>
        </w:tc>
      </w:tr>
      <w:tr w:rsidR="00F9298E" w:rsidRPr="00F9298E" w14:paraId="00E5538D" w14:textId="77777777" w:rsidTr="00CE7D15">
        <w:trPr>
          <w:trHeight w:val="330"/>
        </w:trPr>
        <w:tc>
          <w:tcPr>
            <w:tcW w:w="11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A907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5B29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日常電器(地面)之使用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1715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感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電(飲水機、冰箱、蒸飯箱金屬外殼帶電)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62E0A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外殼皆以確實接地。</w:t>
            </w:r>
          </w:p>
          <w:p w14:paraId="6790ECC7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潮濕場所之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電箱配有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漏電斷路器</w:t>
            </w:r>
          </w:p>
          <w:p w14:paraId="3DD88282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專責人員半年查驗接地狀況(三用電錶)，並留有紀錄。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3848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F0316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61BA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4F225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1C5B0BB9" w14:textId="77777777" w:rsidTr="00CE7D15">
        <w:trPr>
          <w:trHeight w:val="330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8C309EE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機關現有建築體使用</w:t>
            </w:r>
          </w:p>
          <w:p w14:paraId="6D60FB2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(3種危害)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C8EF62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樓梯使用、平面行走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38730C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跌倒(樓梯間未有足夠照明、未有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防滑條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、人員使用手機)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4673BF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皆有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防滑條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、照明符合職業安全衛生設施規則規定之流明、並於樓梯進場處貼標示不得使用手機(走路用手機 跌倒慘兮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兮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774BF10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4D2891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BE27E7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B19804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331EAAF2" w14:textId="77777777" w:rsidTr="00CE7D15">
        <w:trPr>
          <w:trHeight w:val="330"/>
        </w:trPr>
        <w:tc>
          <w:tcPr>
            <w:tcW w:w="11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BDD694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81CEE63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8F20FE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被割被刺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(路面、門框等金屬突出物)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959C74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專責人員每天巡視，並由所有同仁遇有問題或有疑問時，確實提出維修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43E89B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E352D3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91519C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98AF67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辦理一小時之全單位查看並提供維修說明表。秘書室依需求進行維修、發包。</w:t>
            </w:r>
          </w:p>
        </w:tc>
      </w:tr>
      <w:tr w:rsidR="00F9298E" w:rsidRPr="00F9298E" w14:paraId="5318F470" w14:textId="77777777" w:rsidTr="00CE7D15">
        <w:trPr>
          <w:trHeight w:val="330"/>
        </w:trPr>
        <w:tc>
          <w:tcPr>
            <w:tcW w:w="11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A90CCB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00AA1A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2E7A82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墜落(單位之工作場所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建築結構體非鋼筋水泥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之倉庫，倉庫夾層地面為木板或易生鏽、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穿之材質，</w:t>
            </w:r>
            <w:proofErr w:type="gramStart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人員踏穿</w:t>
            </w:r>
            <w:proofErr w:type="gramEnd"/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C2BCEDE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已於10X年X月X日完成夾層地面支撐結構之C型鋼間隙低於15公分。</w:t>
            </w:r>
          </w:p>
          <w:p w14:paraId="17ABF28B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木板之地面結構已更新為不鏽鋼材質。</w:t>
            </w:r>
          </w:p>
          <w:p w14:paraId="3A847472" w14:textId="77777777" w:rsidR="00F9298E" w:rsidRPr="00F9298E" w:rsidRDefault="00F9298E" w:rsidP="00CE7D15">
            <w:pPr>
              <w:pStyle w:val="a7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邊緣確實有足夠強度之護欄。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6740AD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S4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CD184C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P4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CDF5427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EAC4D2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298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已於本次評估前完成改善。</w:t>
            </w:r>
          </w:p>
        </w:tc>
      </w:tr>
      <w:tr w:rsidR="00F9298E" w:rsidRPr="00F9298E" w14:paraId="33CB66A8" w14:textId="77777777" w:rsidTr="00CE7D15">
        <w:trPr>
          <w:trHeight w:val="330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63EA8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A84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B296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410ED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480F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4302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EA29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8FF589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298E" w:rsidRPr="00F9298E" w14:paraId="3910FC56" w14:textId="77777777" w:rsidTr="00CE7D15">
        <w:trPr>
          <w:trHeight w:val="330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E055D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7B75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CF39A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57A01FB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EC6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F1D1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BE20C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FBE1C4" w14:textId="77777777" w:rsidR="00F9298E" w:rsidRPr="00F9298E" w:rsidRDefault="00F9298E" w:rsidP="00CE7D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003A7C22" w14:textId="75CECF0F" w:rsidR="00F9298E" w:rsidRPr="00F9298E" w:rsidRDefault="00F9298E" w:rsidP="00590049">
      <w:pPr>
        <w:rPr>
          <w:rFonts w:ascii="標楷體" w:eastAsia="標楷體" w:hAnsi="標楷體"/>
        </w:rPr>
      </w:pPr>
    </w:p>
    <w:p w14:paraId="635619C1" w14:textId="30324190" w:rsidR="00F9298E" w:rsidRPr="00F9298E" w:rsidRDefault="00F9298E" w:rsidP="00F9298E">
      <w:pPr>
        <w:spacing w:line="32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承辦自我評估結果</w:t>
      </w:r>
      <w:r w:rsidRPr="00F9298E">
        <w:rPr>
          <w:rFonts w:ascii="標楷體" w:eastAsia="標楷體" w:hAnsi="標楷體" w:hint="eastAsia"/>
          <w:b/>
          <w:bCs/>
          <w:sz w:val="28"/>
          <w:szCs w:val="24"/>
        </w:rPr>
        <w:t>：</w:t>
      </w:r>
    </w:p>
    <w:p w14:paraId="19EA622C" w14:textId="129826E3" w:rsidR="00F9298E" w:rsidRPr="00F9298E" w:rsidRDefault="00F9298E" w:rsidP="00F9298E">
      <w:pPr>
        <w:pStyle w:val="a7"/>
        <w:numPr>
          <w:ilvl w:val="0"/>
          <w:numId w:val="20"/>
        </w:numPr>
        <w:spacing w:line="320" w:lineRule="exact"/>
        <w:ind w:leftChars="0"/>
        <w:rPr>
          <w:rFonts w:ascii="標楷體" w:eastAsia="標楷體" w:hAnsi="標楷體"/>
          <w:sz w:val="28"/>
          <w:szCs w:val="24"/>
        </w:rPr>
      </w:pPr>
      <w:r w:rsidRPr="00F9298E">
        <w:rPr>
          <w:rFonts w:ascii="標楷體" w:eastAsia="標楷體" w:hAnsi="標楷體" w:hint="eastAsia"/>
          <w:sz w:val="28"/>
          <w:szCs w:val="24"/>
        </w:rPr>
        <w:t>本科共計40項危害，其中已有8項風險為不可忍受，共計約15人從事不可忍受風險之作業，擬訂於109年X月X日於科室內召開控制風險會議。</w:t>
      </w:r>
    </w:p>
    <w:p w14:paraId="6708C201" w14:textId="6A14D098" w:rsidR="00F9298E" w:rsidRDefault="00F9298E" w:rsidP="00F9298E">
      <w:pPr>
        <w:pStyle w:val="a7"/>
        <w:numPr>
          <w:ilvl w:val="0"/>
          <w:numId w:val="20"/>
        </w:numPr>
        <w:spacing w:line="320" w:lineRule="exact"/>
        <w:ind w:leftChars="0"/>
        <w:rPr>
          <w:rFonts w:ascii="標楷體" w:eastAsia="標楷體" w:hAnsi="標楷體"/>
          <w:sz w:val="28"/>
          <w:szCs w:val="24"/>
        </w:rPr>
      </w:pPr>
      <w:r w:rsidRPr="00F9298E">
        <w:rPr>
          <w:rFonts w:ascii="標楷體" w:eastAsia="標楷體" w:hAnsi="標楷體" w:hint="eastAsia"/>
          <w:sz w:val="28"/>
          <w:szCs w:val="24"/>
        </w:rPr>
        <w:t>另16項高風險及10項中風險部分，已請各同仁自行依照評估控制方法，辦理相關修正、危害控制作為。</w:t>
      </w:r>
    </w:p>
    <w:p w14:paraId="3B933F5F" w14:textId="2D0AB0CA" w:rsidR="00F9298E" w:rsidRPr="00F9298E" w:rsidRDefault="00F9298E" w:rsidP="00F9298E">
      <w:pPr>
        <w:pStyle w:val="a7"/>
        <w:numPr>
          <w:ilvl w:val="0"/>
          <w:numId w:val="20"/>
        </w:numPr>
        <w:spacing w:line="32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相關經費需求，</w:t>
      </w:r>
      <w:r w:rsidR="00643F30">
        <w:rPr>
          <w:rFonts w:ascii="標楷體" w:eastAsia="標楷體" w:hAnsi="標楷體" w:hint="eastAsia"/>
          <w:sz w:val="28"/>
          <w:szCs w:val="24"/>
        </w:rPr>
        <w:t>將</w:t>
      </w:r>
      <w:r>
        <w:rPr>
          <w:rFonts w:ascii="標楷體" w:eastAsia="標楷體" w:hAnsi="標楷體" w:hint="eastAsia"/>
          <w:sz w:val="28"/>
          <w:szCs w:val="24"/>
        </w:rPr>
        <w:t>於109年12月X日前提出計畫</w:t>
      </w:r>
      <w:r w:rsidR="00643F30">
        <w:rPr>
          <w:rFonts w:ascii="標楷體" w:eastAsia="標楷體" w:hAnsi="標楷體" w:hint="eastAsia"/>
          <w:sz w:val="28"/>
          <w:szCs w:val="24"/>
        </w:rPr>
        <w:t>。</w:t>
      </w:r>
    </w:p>
    <w:p w14:paraId="206B259C" w14:textId="498E8D3D" w:rsidR="00F9298E" w:rsidRDefault="00F9298E" w:rsidP="00590049">
      <w:pPr>
        <w:rPr>
          <w:rFonts w:ascii="標楷體" w:eastAsia="標楷體" w:hAnsi="標楷體"/>
        </w:rPr>
      </w:pPr>
    </w:p>
    <w:p w14:paraId="7CCD4682" w14:textId="772856CF" w:rsidR="00F9298E" w:rsidRDefault="00F9298E" w:rsidP="005900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評估</w:t>
      </w:r>
      <w:proofErr w:type="gramStart"/>
      <w:r>
        <w:rPr>
          <w:rFonts w:ascii="標楷體" w:eastAsia="標楷體" w:hAnsi="標楷體" w:hint="eastAsia"/>
        </w:rPr>
        <w:t>科室核章</w:t>
      </w:r>
      <w:proofErr w:type="gramEnd"/>
      <w:r>
        <w:rPr>
          <w:rFonts w:ascii="標楷體" w:eastAsia="標楷體" w:hAnsi="標楷體" w:hint="eastAsia"/>
        </w:rPr>
        <w:t>：</w:t>
      </w:r>
    </w:p>
    <w:p w14:paraId="087F5B52" w14:textId="18DF0872" w:rsidR="00F9298E" w:rsidRDefault="00F9298E" w:rsidP="00590049">
      <w:pPr>
        <w:rPr>
          <w:rFonts w:ascii="標楷體" w:eastAsia="標楷體" w:hAnsi="標楷體"/>
        </w:rPr>
      </w:pPr>
    </w:p>
    <w:p w14:paraId="3F53C4F9" w14:textId="77777777" w:rsidR="00F9298E" w:rsidRDefault="00F9298E" w:rsidP="00590049">
      <w:pPr>
        <w:rPr>
          <w:rFonts w:ascii="標楷體" w:eastAsia="標楷體" w:hAnsi="標楷體"/>
        </w:rPr>
      </w:pPr>
    </w:p>
    <w:p w14:paraId="4EA6BCEB" w14:textId="4C7B4ED1" w:rsidR="00F9298E" w:rsidRDefault="00F9298E" w:rsidP="00590049">
      <w:pPr>
        <w:rPr>
          <w:rFonts w:ascii="標楷體" w:eastAsia="標楷體" w:hAnsi="標楷體"/>
        </w:rPr>
      </w:pPr>
    </w:p>
    <w:p w14:paraId="01AA16A2" w14:textId="33F5D221" w:rsidR="00F9298E" w:rsidRPr="00F9298E" w:rsidRDefault="00F9298E" w:rsidP="00590049">
      <w:pPr>
        <w:rPr>
          <w:rFonts w:ascii="標楷體" w:eastAsia="標楷體" w:hAnsi="標楷體"/>
        </w:rPr>
      </w:pPr>
    </w:p>
    <w:tbl>
      <w:tblPr>
        <w:tblStyle w:val="af"/>
        <w:tblW w:w="97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120"/>
      </w:tblGrid>
      <w:tr w:rsidR="00F9298E" w14:paraId="79912AC7" w14:textId="77777777" w:rsidTr="00F9298E">
        <w:tc>
          <w:tcPr>
            <w:tcW w:w="3261" w:type="dxa"/>
          </w:tcPr>
          <w:p w14:paraId="77A58819" w14:textId="17CAC9A1" w:rsidR="00F9298E" w:rsidRDefault="00F9298E" w:rsidP="00F9298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協評單位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402" w:type="dxa"/>
          </w:tcPr>
          <w:p w14:paraId="24632B42" w14:textId="3E297CB7" w:rsidR="00F9298E" w:rsidRDefault="00F9298E" w:rsidP="00F929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會辦單位：</w:t>
            </w:r>
          </w:p>
        </w:tc>
        <w:tc>
          <w:tcPr>
            <w:tcW w:w="3120" w:type="dxa"/>
          </w:tcPr>
          <w:p w14:paraId="3EB36C20" w14:textId="298C80B9" w:rsidR="00F9298E" w:rsidRDefault="00F9298E" w:rsidP="00F9298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核判</w:t>
            </w:r>
            <w:proofErr w:type="gramEnd"/>
          </w:p>
        </w:tc>
      </w:tr>
    </w:tbl>
    <w:p w14:paraId="318B90AD" w14:textId="67429DBC" w:rsidR="00F9298E" w:rsidRPr="00F9298E" w:rsidRDefault="00F9298E" w:rsidP="00590049">
      <w:pPr>
        <w:rPr>
          <w:rFonts w:ascii="標楷體" w:eastAsia="標楷體" w:hAnsi="標楷體"/>
        </w:rPr>
      </w:pPr>
    </w:p>
    <w:sectPr w:rsidR="00F9298E" w:rsidRPr="00F929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9BF1" w14:textId="77777777" w:rsidR="00A40A19" w:rsidRDefault="00A40A19" w:rsidP="00590049">
      <w:r>
        <w:separator/>
      </w:r>
    </w:p>
  </w:endnote>
  <w:endnote w:type="continuationSeparator" w:id="0">
    <w:p w14:paraId="7CC5B642" w14:textId="77777777" w:rsidR="00A40A19" w:rsidRDefault="00A40A19" w:rsidP="0059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C23E9" w14:textId="77777777" w:rsidR="00A40A19" w:rsidRDefault="00A40A19" w:rsidP="00590049">
      <w:r>
        <w:separator/>
      </w:r>
    </w:p>
  </w:footnote>
  <w:footnote w:type="continuationSeparator" w:id="0">
    <w:p w14:paraId="7C0901F2" w14:textId="77777777" w:rsidR="00A40A19" w:rsidRDefault="00A40A19" w:rsidP="0059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003A" w14:textId="77777777" w:rsidR="0077294C" w:rsidRPr="00590049" w:rsidRDefault="0077294C" w:rsidP="00590049">
    <w:pPr>
      <w:pStyle w:val="a3"/>
      <w:jc w:val="center"/>
      <w:rPr>
        <w:rFonts w:ascii="標楷體" w:eastAsia="標楷體" w:hAnsi="標楷體"/>
        <w:color w:val="000000" w:themeColor="text1"/>
        <w:sz w:val="40"/>
      </w:rPr>
    </w:pPr>
    <w:r w:rsidRPr="00590049">
      <w:rPr>
        <w:rFonts w:ascii="標楷體" w:eastAsia="標楷體" w:hAnsi="標楷體" w:hint="eastAsia"/>
        <w:color w:val="000000" w:themeColor="text1"/>
        <w:sz w:val="40"/>
      </w:rPr>
      <w:t>高雄市政府               風險評估表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467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D14D4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24F61"/>
    <w:multiLevelType w:val="hybridMultilevel"/>
    <w:tmpl w:val="F9642F10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BF3C6F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BF4973"/>
    <w:multiLevelType w:val="hybridMultilevel"/>
    <w:tmpl w:val="F9642F10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CA734E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35C47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035E36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C252BD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D4317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C70042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94556F"/>
    <w:multiLevelType w:val="hybridMultilevel"/>
    <w:tmpl w:val="F9642F10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3E7DA7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E51AB3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1A66B8"/>
    <w:multiLevelType w:val="hybridMultilevel"/>
    <w:tmpl w:val="F9642F10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960072"/>
    <w:multiLevelType w:val="hybridMultilevel"/>
    <w:tmpl w:val="710095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0E408D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B0E0D"/>
    <w:multiLevelType w:val="hybridMultilevel"/>
    <w:tmpl w:val="F9642F10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A62031"/>
    <w:multiLevelType w:val="hybridMultilevel"/>
    <w:tmpl w:val="F9642F10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14233F"/>
    <w:multiLevelType w:val="hybridMultilevel"/>
    <w:tmpl w:val="E9ECA532"/>
    <w:lvl w:ilvl="0" w:tplc="7532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7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6"/>
  </w:num>
  <w:num w:numId="17">
    <w:abstractNumId w:val="16"/>
  </w:num>
  <w:num w:numId="18">
    <w:abstractNumId w:val="12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76"/>
    <w:rsid w:val="00045B96"/>
    <w:rsid w:val="0010622F"/>
    <w:rsid w:val="00123AD1"/>
    <w:rsid w:val="001D6D3A"/>
    <w:rsid w:val="00231B5A"/>
    <w:rsid w:val="00264DD2"/>
    <w:rsid w:val="002E64BA"/>
    <w:rsid w:val="003330EB"/>
    <w:rsid w:val="00340C76"/>
    <w:rsid w:val="00374C9B"/>
    <w:rsid w:val="00400001"/>
    <w:rsid w:val="00491750"/>
    <w:rsid w:val="00590049"/>
    <w:rsid w:val="005A0324"/>
    <w:rsid w:val="005F3F7B"/>
    <w:rsid w:val="00643F30"/>
    <w:rsid w:val="00744185"/>
    <w:rsid w:val="0077294C"/>
    <w:rsid w:val="00776027"/>
    <w:rsid w:val="0077656C"/>
    <w:rsid w:val="007D52CB"/>
    <w:rsid w:val="007E2B26"/>
    <w:rsid w:val="00872A22"/>
    <w:rsid w:val="008E43F2"/>
    <w:rsid w:val="00A40A19"/>
    <w:rsid w:val="00A77B96"/>
    <w:rsid w:val="00A80E5B"/>
    <w:rsid w:val="00AB39E8"/>
    <w:rsid w:val="00AC1837"/>
    <w:rsid w:val="00B0130D"/>
    <w:rsid w:val="00B2236C"/>
    <w:rsid w:val="00C30878"/>
    <w:rsid w:val="00CA7A3A"/>
    <w:rsid w:val="00CD5E8F"/>
    <w:rsid w:val="00D00410"/>
    <w:rsid w:val="00D04EBE"/>
    <w:rsid w:val="00D651FC"/>
    <w:rsid w:val="00DD04CC"/>
    <w:rsid w:val="00E75CF2"/>
    <w:rsid w:val="00E81BF8"/>
    <w:rsid w:val="00EA72C1"/>
    <w:rsid w:val="00EB73D8"/>
    <w:rsid w:val="00EB75D9"/>
    <w:rsid w:val="00EB7B40"/>
    <w:rsid w:val="00EC04E4"/>
    <w:rsid w:val="00F40F90"/>
    <w:rsid w:val="00F9298E"/>
    <w:rsid w:val="00FA0C28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C2E0E"/>
  <w15:docId w15:val="{55F9D498-1D0D-425F-B234-FD2E943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0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049"/>
    <w:rPr>
      <w:sz w:val="20"/>
      <w:szCs w:val="20"/>
    </w:rPr>
  </w:style>
  <w:style w:type="paragraph" w:styleId="a7">
    <w:name w:val="List Paragraph"/>
    <w:basedOn w:val="a"/>
    <w:uiPriority w:val="34"/>
    <w:qFormat/>
    <w:rsid w:val="0040000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000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001"/>
  </w:style>
  <w:style w:type="character" w:customStyle="1" w:styleId="aa">
    <w:name w:val="註解文字 字元"/>
    <w:basedOn w:val="a0"/>
    <w:link w:val="a9"/>
    <w:uiPriority w:val="99"/>
    <w:semiHidden/>
    <w:rsid w:val="004000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000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000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00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000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9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Eddie</cp:lastModifiedBy>
  <cp:revision>2</cp:revision>
  <cp:lastPrinted>2020-12-03T08:46:00Z</cp:lastPrinted>
  <dcterms:created xsi:type="dcterms:W3CDTF">2020-12-24T05:35:00Z</dcterms:created>
  <dcterms:modified xsi:type="dcterms:W3CDTF">2020-12-24T05:35:00Z</dcterms:modified>
</cp:coreProperties>
</file>