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97" w:rsidRDefault="00F1228B" w:rsidP="00F1228B">
      <w:pPr>
        <w:pStyle w:val="a3"/>
        <w:spacing w:line="560" w:lineRule="exact"/>
        <w:ind w:left="1009" w:hangingChars="280" w:hanging="1009"/>
        <w:jc w:val="center"/>
        <w:rPr>
          <w:rFonts w:ascii="標楷體" w:hAnsi="標楷體"/>
          <w:b/>
          <w:sz w:val="36"/>
          <w:szCs w:val="36"/>
        </w:rPr>
      </w:pPr>
      <w:r w:rsidRPr="00CE2B5E">
        <w:rPr>
          <w:rFonts w:ascii="標楷體" w:hAnsi="標楷體" w:hint="eastAsia"/>
          <w:b/>
          <w:sz w:val="36"/>
          <w:szCs w:val="36"/>
        </w:rPr>
        <w:t>108年石斑魚</w:t>
      </w:r>
      <w:proofErr w:type="gramStart"/>
      <w:r w:rsidR="00397F4D">
        <w:rPr>
          <w:rFonts w:ascii="標楷體" w:hAnsi="標楷體" w:hint="eastAsia"/>
          <w:b/>
          <w:sz w:val="36"/>
          <w:szCs w:val="36"/>
        </w:rPr>
        <w:t>加工凍儲</w:t>
      </w:r>
      <w:r w:rsidR="00886B46">
        <w:rPr>
          <w:rFonts w:ascii="標楷體" w:hAnsi="標楷體" w:hint="eastAsia"/>
          <w:b/>
          <w:sz w:val="36"/>
          <w:szCs w:val="36"/>
        </w:rPr>
        <w:t>措施</w:t>
      </w:r>
      <w:proofErr w:type="gramEnd"/>
    </w:p>
    <w:p w:rsidR="00675622" w:rsidRPr="00675622" w:rsidRDefault="00675622" w:rsidP="00675622">
      <w:pPr>
        <w:pStyle w:val="a3"/>
        <w:spacing w:line="560" w:lineRule="exact"/>
        <w:ind w:left="0" w:firstLineChars="0" w:firstLine="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</w:t>
      </w:r>
      <w:r w:rsidRPr="00675622">
        <w:rPr>
          <w:rFonts w:ascii="標楷體" w:hAnsi="標楷體" w:hint="eastAsia"/>
          <w:sz w:val="32"/>
          <w:szCs w:val="32"/>
        </w:rPr>
        <w:t>石斑魚</w:t>
      </w:r>
      <w:r>
        <w:rPr>
          <w:rFonts w:ascii="標楷體" w:hAnsi="標楷體" w:hint="eastAsia"/>
          <w:sz w:val="32"/>
          <w:szCs w:val="32"/>
        </w:rPr>
        <w:t>在農曆</w:t>
      </w:r>
      <w:r w:rsidR="00886B46">
        <w:rPr>
          <w:rFonts w:ascii="標楷體" w:hAnsi="標楷體" w:hint="eastAsia"/>
          <w:sz w:val="32"/>
          <w:szCs w:val="32"/>
        </w:rPr>
        <w:t>春節後，市場需求減緩，致價格受到波動，</w:t>
      </w:r>
      <w:proofErr w:type="gramStart"/>
      <w:r w:rsidR="00886B46">
        <w:rPr>
          <w:rFonts w:ascii="標楷體" w:hAnsi="標楷體" w:hint="eastAsia"/>
          <w:sz w:val="32"/>
          <w:szCs w:val="32"/>
        </w:rPr>
        <w:t>爰</w:t>
      </w:r>
      <w:proofErr w:type="gramEnd"/>
      <w:r w:rsidR="00886B46">
        <w:rPr>
          <w:rFonts w:ascii="標楷體" w:hAnsi="標楷體" w:hint="eastAsia"/>
          <w:sz w:val="32"/>
          <w:szCs w:val="32"/>
        </w:rPr>
        <w:t>行政院農業委員會漁業署訂定</w:t>
      </w:r>
      <w:r>
        <w:rPr>
          <w:rFonts w:ascii="標楷體" w:hAnsi="標楷體" w:hint="eastAsia"/>
          <w:sz w:val="32"/>
          <w:szCs w:val="32"/>
        </w:rPr>
        <w:t>本措施</w:t>
      </w:r>
      <w:r w:rsidR="0090657B">
        <w:rPr>
          <w:rFonts w:ascii="標楷體" w:hAnsi="標楷體" w:hint="eastAsia"/>
          <w:sz w:val="32"/>
          <w:szCs w:val="32"/>
        </w:rPr>
        <w:t>（流程圖如附件）</w:t>
      </w:r>
      <w:r>
        <w:rPr>
          <w:rFonts w:ascii="標楷體" w:hAnsi="標楷體" w:hint="eastAsia"/>
          <w:sz w:val="32"/>
          <w:szCs w:val="32"/>
        </w:rPr>
        <w:t>，補助加工廠收購青</w:t>
      </w:r>
      <w:proofErr w:type="gramStart"/>
      <w:r>
        <w:rPr>
          <w:rFonts w:ascii="標楷體" w:hAnsi="標楷體" w:hint="eastAsia"/>
          <w:sz w:val="32"/>
          <w:szCs w:val="32"/>
        </w:rPr>
        <w:t>斑與龍虎斑，俾</w:t>
      </w:r>
      <w:proofErr w:type="gramEnd"/>
      <w:r>
        <w:rPr>
          <w:rFonts w:ascii="標楷體" w:hAnsi="標楷體" w:hint="eastAsia"/>
          <w:sz w:val="32"/>
          <w:szCs w:val="32"/>
        </w:rPr>
        <w:t xml:space="preserve">使價格回穩。 </w:t>
      </w:r>
    </w:p>
    <w:p w:rsidR="009972F8" w:rsidRDefault="005C6F0B" w:rsidP="00CD6E6E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1276"/>
        </w:tabs>
        <w:spacing w:line="560" w:lineRule="exact"/>
        <w:ind w:left="709" w:firstLineChars="0" w:hanging="709"/>
        <w:jc w:val="both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執行</w:t>
      </w:r>
      <w:r w:rsidR="009972F8" w:rsidRPr="009972F8">
        <w:rPr>
          <w:rFonts w:ascii="標楷體" w:hAnsi="標楷體" w:hint="eastAsia"/>
          <w:sz w:val="32"/>
        </w:rPr>
        <w:t>機關：石斑魚主要產區包括</w:t>
      </w:r>
      <w:proofErr w:type="gramStart"/>
      <w:r w:rsidR="00B84EAA">
        <w:rPr>
          <w:rFonts w:ascii="標楷體" w:hint="eastAsia"/>
          <w:sz w:val="32"/>
          <w:szCs w:val="30"/>
        </w:rPr>
        <w:t>臺</w:t>
      </w:r>
      <w:proofErr w:type="gramEnd"/>
      <w:r w:rsidR="00B84EAA">
        <w:rPr>
          <w:rFonts w:ascii="標楷體" w:hint="eastAsia"/>
          <w:sz w:val="32"/>
          <w:szCs w:val="30"/>
        </w:rPr>
        <w:t>南、高雄及屏東等縣</w:t>
      </w:r>
      <w:r w:rsidR="00B84EAA">
        <w:rPr>
          <w:rFonts w:ascii="標楷體" w:hAnsi="標楷體" w:hint="eastAsia"/>
          <w:sz w:val="32"/>
          <w:szCs w:val="30"/>
        </w:rPr>
        <w:t>（市）</w:t>
      </w:r>
      <w:r w:rsidR="00B84EAA" w:rsidRPr="002F342A">
        <w:rPr>
          <w:rFonts w:ascii="標楷體" w:hint="eastAsia"/>
          <w:sz w:val="32"/>
          <w:szCs w:val="30"/>
        </w:rPr>
        <w:t>政府</w:t>
      </w:r>
      <w:r w:rsidR="009972F8" w:rsidRPr="009972F8">
        <w:rPr>
          <w:rFonts w:ascii="標楷體" w:hAnsi="標楷體" w:hint="eastAsia"/>
          <w:sz w:val="32"/>
        </w:rPr>
        <w:t>。</w:t>
      </w:r>
    </w:p>
    <w:p w:rsidR="00CF2EAF" w:rsidRDefault="00E915D3" w:rsidP="00CD6E6E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1276"/>
        </w:tabs>
        <w:spacing w:line="560" w:lineRule="exact"/>
        <w:ind w:left="709" w:firstLineChars="0" w:hanging="709"/>
        <w:jc w:val="both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申請條件：</w:t>
      </w:r>
    </w:p>
    <w:p w:rsidR="00E915D3" w:rsidRDefault="00276128" w:rsidP="00CE720B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line="560" w:lineRule="exact"/>
        <w:ind w:left="1418" w:firstLineChars="0" w:hanging="992"/>
        <w:jc w:val="both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具工廠登記證之</w:t>
      </w:r>
      <w:r w:rsidR="00CB09F2" w:rsidRPr="00CE2B5E">
        <w:rPr>
          <w:rFonts w:ascii="標楷體" w:hAnsi="標楷體" w:hint="eastAsia"/>
          <w:sz w:val="32"/>
        </w:rPr>
        <w:t>加工廠</w:t>
      </w:r>
      <w:r w:rsidR="00E915D3">
        <w:rPr>
          <w:rFonts w:ascii="標楷體" w:hAnsi="標楷體" w:hint="eastAsia"/>
          <w:sz w:val="32"/>
        </w:rPr>
        <w:t>，向收購對象</w:t>
      </w:r>
      <w:r w:rsidR="00B92458">
        <w:rPr>
          <w:rFonts w:ascii="標楷體" w:hAnsi="標楷體" w:hint="eastAsia"/>
          <w:sz w:val="32"/>
        </w:rPr>
        <w:t>魚</w:t>
      </w:r>
      <w:proofErr w:type="gramStart"/>
      <w:r w:rsidR="00E915D3">
        <w:rPr>
          <w:rFonts w:ascii="標楷體" w:hAnsi="標楷體" w:hint="eastAsia"/>
          <w:sz w:val="32"/>
        </w:rPr>
        <w:t>塭</w:t>
      </w:r>
      <w:proofErr w:type="gramEnd"/>
      <w:r w:rsidR="00E915D3">
        <w:rPr>
          <w:rFonts w:ascii="標楷體" w:hAnsi="標楷體" w:hint="eastAsia"/>
          <w:sz w:val="32"/>
        </w:rPr>
        <w:t>所在地之地方政府提出申請。</w:t>
      </w:r>
    </w:p>
    <w:p w:rsidR="00CF2EAF" w:rsidRPr="00CE720B" w:rsidRDefault="00CF2EAF" w:rsidP="00CE720B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line="560" w:lineRule="exact"/>
        <w:ind w:left="1418" w:firstLineChars="0" w:hanging="992"/>
        <w:jc w:val="both"/>
        <w:rPr>
          <w:rFonts w:ascii="標楷體" w:hAnsi="標楷體"/>
          <w:sz w:val="32"/>
        </w:rPr>
      </w:pPr>
      <w:r w:rsidRPr="00CE720B">
        <w:rPr>
          <w:rFonts w:ascii="標楷體" w:hAnsi="標楷體" w:hint="eastAsia"/>
          <w:sz w:val="32"/>
        </w:rPr>
        <w:t>加工廠收購的魚貨來源為具陸上養殖魚</w:t>
      </w:r>
      <w:proofErr w:type="gramStart"/>
      <w:r w:rsidRPr="00CE720B">
        <w:rPr>
          <w:rFonts w:ascii="標楷體" w:hAnsi="標楷體" w:hint="eastAsia"/>
          <w:sz w:val="32"/>
        </w:rPr>
        <w:t>塭</w:t>
      </w:r>
      <w:proofErr w:type="gramEnd"/>
      <w:r w:rsidRPr="00CE720B">
        <w:rPr>
          <w:rFonts w:ascii="標楷體" w:hAnsi="標楷體" w:hint="eastAsia"/>
          <w:sz w:val="32"/>
        </w:rPr>
        <w:t>登記且當年度或前一年度完成</w:t>
      </w:r>
      <w:proofErr w:type="gramStart"/>
      <w:r w:rsidRPr="00CE720B">
        <w:rPr>
          <w:rFonts w:ascii="標楷體" w:hAnsi="標楷體" w:hint="eastAsia"/>
          <w:sz w:val="32"/>
        </w:rPr>
        <w:t>放養量申查報</w:t>
      </w:r>
      <w:proofErr w:type="gramEnd"/>
      <w:r w:rsidRPr="00CE720B">
        <w:rPr>
          <w:rFonts w:ascii="標楷體" w:hAnsi="標楷體" w:hint="eastAsia"/>
          <w:sz w:val="32"/>
        </w:rPr>
        <w:t>之養殖漁民。</w:t>
      </w:r>
    </w:p>
    <w:p w:rsidR="00CE720B" w:rsidRDefault="00E915D3" w:rsidP="00722BB9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1276"/>
        </w:tabs>
        <w:spacing w:line="560" w:lineRule="exact"/>
        <w:ind w:left="709" w:firstLineChars="0" w:hanging="709"/>
        <w:jc w:val="both"/>
        <w:rPr>
          <w:rFonts w:ascii="標楷體" w:hAnsi="標楷體"/>
          <w:sz w:val="32"/>
        </w:rPr>
      </w:pPr>
      <w:r w:rsidRPr="00722BB9">
        <w:rPr>
          <w:rFonts w:ascii="標楷體" w:hAnsi="標楷體" w:hint="eastAsia"/>
          <w:sz w:val="32"/>
        </w:rPr>
        <w:t>補助</w:t>
      </w:r>
      <w:r w:rsidR="00CF2EAF" w:rsidRPr="00722BB9">
        <w:rPr>
          <w:rFonts w:ascii="標楷體" w:hAnsi="標楷體" w:hint="eastAsia"/>
          <w:sz w:val="32"/>
        </w:rPr>
        <w:t>條件</w:t>
      </w:r>
      <w:r w:rsidRPr="00722BB9">
        <w:rPr>
          <w:rFonts w:ascii="標楷體" w:hAnsi="標楷體" w:hint="eastAsia"/>
          <w:sz w:val="32"/>
        </w:rPr>
        <w:t>：</w:t>
      </w:r>
    </w:p>
    <w:p w:rsidR="00CE720B" w:rsidRDefault="00CB09F2" w:rsidP="00CE720B">
      <w:pPr>
        <w:pStyle w:val="a3"/>
        <w:numPr>
          <w:ilvl w:val="0"/>
          <w:numId w:val="6"/>
        </w:numPr>
        <w:tabs>
          <w:tab w:val="left" w:pos="0"/>
          <w:tab w:val="left" w:pos="709"/>
        </w:tabs>
        <w:spacing w:line="560" w:lineRule="exact"/>
        <w:ind w:left="1418" w:firstLineChars="0" w:hanging="992"/>
        <w:jc w:val="both"/>
        <w:rPr>
          <w:rFonts w:ascii="標楷體" w:hAnsi="標楷體"/>
          <w:sz w:val="32"/>
        </w:rPr>
      </w:pPr>
      <w:r w:rsidRPr="00722BB9">
        <w:rPr>
          <w:rFonts w:ascii="標楷體" w:hAnsi="標楷體" w:hint="eastAsia"/>
          <w:sz w:val="32"/>
        </w:rPr>
        <w:t>20元/公斤（加工凍儲包括加工、檢驗或運輸等</w:t>
      </w:r>
      <w:r w:rsidR="00276128" w:rsidRPr="00722BB9">
        <w:rPr>
          <w:rFonts w:ascii="標楷體" w:hAnsi="標楷體" w:hint="eastAsia"/>
          <w:sz w:val="32"/>
        </w:rPr>
        <w:t>所需費用</w:t>
      </w:r>
      <w:r w:rsidRPr="00722BB9">
        <w:rPr>
          <w:rFonts w:ascii="標楷體" w:hAnsi="標楷體" w:hint="eastAsia"/>
          <w:sz w:val="32"/>
        </w:rPr>
        <w:t>）定額</w:t>
      </w:r>
      <w:r w:rsidR="00276128" w:rsidRPr="00722BB9">
        <w:rPr>
          <w:rFonts w:ascii="標楷體" w:hAnsi="標楷體" w:hint="eastAsia"/>
          <w:sz w:val="32"/>
        </w:rPr>
        <w:t>（青斑200元/公斤</w:t>
      </w:r>
      <w:r w:rsidR="00BF5C31">
        <w:rPr>
          <w:rFonts w:ascii="標楷體" w:hAnsi="標楷體" w:hint="eastAsia"/>
          <w:sz w:val="32"/>
        </w:rPr>
        <w:t>以上</w:t>
      </w:r>
      <w:r w:rsidR="00276128" w:rsidRPr="00722BB9">
        <w:rPr>
          <w:rFonts w:ascii="標楷體" w:hAnsi="標楷體" w:hint="eastAsia"/>
          <w:sz w:val="32"/>
        </w:rPr>
        <w:t>、龍虎</w:t>
      </w:r>
      <w:r w:rsidR="00E915D3" w:rsidRPr="00722BB9">
        <w:rPr>
          <w:rFonts w:ascii="標楷體" w:hAnsi="標楷體" w:hint="eastAsia"/>
          <w:sz w:val="32"/>
        </w:rPr>
        <w:t>斑</w:t>
      </w:r>
      <w:r w:rsidR="00BF5C31">
        <w:rPr>
          <w:rFonts w:ascii="標楷體" w:hAnsi="標楷體" w:hint="eastAsia"/>
          <w:sz w:val="32"/>
        </w:rPr>
        <w:t>220</w:t>
      </w:r>
      <w:r w:rsidR="00276128" w:rsidRPr="00722BB9">
        <w:rPr>
          <w:rFonts w:ascii="標楷體" w:hAnsi="標楷體" w:hint="eastAsia"/>
          <w:sz w:val="32"/>
        </w:rPr>
        <w:t>元/公斤</w:t>
      </w:r>
      <w:r w:rsidR="00BF5C31">
        <w:rPr>
          <w:rFonts w:ascii="標楷體" w:hAnsi="標楷體" w:hint="eastAsia"/>
          <w:sz w:val="32"/>
        </w:rPr>
        <w:t>以上</w:t>
      </w:r>
      <w:r w:rsidR="00276128" w:rsidRPr="00722BB9">
        <w:rPr>
          <w:rFonts w:ascii="標楷體" w:hAnsi="標楷體" w:hint="eastAsia"/>
          <w:sz w:val="32"/>
        </w:rPr>
        <w:t>）</w:t>
      </w:r>
      <w:r w:rsidRPr="00722BB9">
        <w:rPr>
          <w:rFonts w:ascii="標楷體" w:hAnsi="標楷體" w:hint="eastAsia"/>
          <w:sz w:val="32"/>
        </w:rPr>
        <w:t>收購</w:t>
      </w:r>
      <w:r w:rsidR="00276128" w:rsidRPr="00722BB9">
        <w:rPr>
          <w:rFonts w:ascii="標楷體" w:hAnsi="標楷體" w:hint="eastAsia"/>
          <w:sz w:val="32"/>
        </w:rPr>
        <w:t>規格900公克以上/尾之</w:t>
      </w:r>
      <w:r w:rsidRPr="00722BB9">
        <w:rPr>
          <w:rFonts w:ascii="標楷體" w:hAnsi="標楷體" w:hint="eastAsia"/>
          <w:sz w:val="32"/>
        </w:rPr>
        <w:t>青</w:t>
      </w:r>
      <w:proofErr w:type="gramStart"/>
      <w:r w:rsidRPr="00722BB9">
        <w:rPr>
          <w:rFonts w:ascii="標楷體" w:hAnsi="標楷體" w:hint="eastAsia"/>
          <w:sz w:val="32"/>
        </w:rPr>
        <w:t>斑或龍虎斑</w:t>
      </w:r>
      <w:proofErr w:type="gramEnd"/>
      <w:r w:rsidR="006540EE" w:rsidRPr="00722BB9">
        <w:rPr>
          <w:rFonts w:ascii="標楷體" w:hAnsi="標楷體" w:hint="eastAsia"/>
          <w:sz w:val="32"/>
        </w:rPr>
        <w:t>。</w:t>
      </w:r>
    </w:p>
    <w:p w:rsidR="00CE720B" w:rsidRPr="00CE720B" w:rsidRDefault="00CE720B" w:rsidP="00CE720B">
      <w:pPr>
        <w:pStyle w:val="a3"/>
        <w:numPr>
          <w:ilvl w:val="0"/>
          <w:numId w:val="6"/>
        </w:numPr>
        <w:tabs>
          <w:tab w:val="left" w:pos="0"/>
          <w:tab w:val="left" w:pos="709"/>
        </w:tabs>
        <w:spacing w:line="560" w:lineRule="exact"/>
        <w:ind w:left="1418" w:firstLineChars="0" w:hanging="992"/>
        <w:jc w:val="both"/>
        <w:rPr>
          <w:rFonts w:ascii="標楷體" w:hAnsi="標楷體"/>
          <w:sz w:val="32"/>
        </w:rPr>
      </w:pPr>
      <w:r w:rsidRPr="00CE720B">
        <w:rPr>
          <w:rFonts w:ascii="標楷體" w:hAnsi="標楷體" w:hint="eastAsia"/>
          <w:sz w:val="32"/>
        </w:rPr>
        <w:t>每位養殖漁民捕撈數量上限20公噸。</w:t>
      </w:r>
    </w:p>
    <w:p w:rsidR="005C6F0B" w:rsidRDefault="006540EE" w:rsidP="00CD6E6E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1276"/>
        </w:tabs>
        <w:spacing w:line="560" w:lineRule="exact"/>
        <w:ind w:left="709" w:firstLineChars="0" w:hanging="709"/>
        <w:jc w:val="both"/>
        <w:rPr>
          <w:rFonts w:ascii="標楷體" w:hAnsi="標楷體" w:hint="eastAsia"/>
          <w:sz w:val="32"/>
        </w:rPr>
      </w:pPr>
      <w:r w:rsidRPr="00CF2EAF">
        <w:rPr>
          <w:rFonts w:ascii="標楷體" w:hAnsi="標楷體" w:hint="eastAsia"/>
          <w:sz w:val="32"/>
        </w:rPr>
        <w:t>補助</w:t>
      </w:r>
      <w:proofErr w:type="gramStart"/>
      <w:r w:rsidR="003634BF">
        <w:rPr>
          <w:rFonts w:ascii="標楷體" w:hAnsi="標楷體" w:hint="eastAsia"/>
          <w:sz w:val="32"/>
        </w:rPr>
        <w:t>加工凍儲數</w:t>
      </w:r>
      <w:r w:rsidR="00276128" w:rsidRPr="00CF2EAF">
        <w:rPr>
          <w:rFonts w:ascii="標楷體" w:hAnsi="標楷體" w:hint="eastAsia"/>
          <w:sz w:val="32"/>
        </w:rPr>
        <w:t>量</w:t>
      </w:r>
      <w:proofErr w:type="gramEnd"/>
      <w:r w:rsidR="00276128" w:rsidRPr="00CF2EAF">
        <w:rPr>
          <w:rFonts w:ascii="標楷體" w:hAnsi="標楷體" w:hint="eastAsia"/>
          <w:sz w:val="32"/>
        </w:rPr>
        <w:t>：</w:t>
      </w:r>
      <w:bookmarkStart w:id="0" w:name="_Hlk2869391"/>
    </w:p>
    <w:p w:rsidR="00722BB9" w:rsidRDefault="00276128" w:rsidP="005C6F0B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line="560" w:lineRule="exact"/>
        <w:ind w:left="1418" w:firstLineChars="0" w:hanging="992"/>
        <w:jc w:val="both"/>
        <w:rPr>
          <w:rFonts w:ascii="標楷體" w:hAnsi="標楷體" w:hint="eastAsia"/>
          <w:sz w:val="32"/>
        </w:rPr>
      </w:pPr>
      <w:r w:rsidRPr="00CF2EAF">
        <w:rPr>
          <w:rFonts w:ascii="標楷體" w:hAnsi="標楷體" w:hint="eastAsia"/>
          <w:sz w:val="32"/>
        </w:rPr>
        <w:t>總</w:t>
      </w:r>
      <w:r w:rsidR="00CB09F2" w:rsidRPr="00CF2EAF">
        <w:rPr>
          <w:rFonts w:ascii="標楷體" w:hAnsi="標楷體" w:hint="eastAsia"/>
          <w:sz w:val="32"/>
        </w:rPr>
        <w:t>計</w:t>
      </w:r>
      <w:r w:rsidR="00E915D3" w:rsidRPr="00CF2EAF">
        <w:rPr>
          <w:rFonts w:ascii="標楷體" w:hAnsi="標楷體" w:hint="eastAsia"/>
          <w:sz w:val="32"/>
        </w:rPr>
        <w:t>6</w:t>
      </w:r>
      <w:r w:rsidR="00CB09F2" w:rsidRPr="00CF2EAF">
        <w:rPr>
          <w:rFonts w:ascii="標楷體" w:hAnsi="標楷體" w:hint="eastAsia"/>
          <w:sz w:val="32"/>
        </w:rPr>
        <w:t>00公噸</w:t>
      </w:r>
      <w:r w:rsidR="00CF2EAF" w:rsidRPr="00CF2EAF">
        <w:rPr>
          <w:rFonts w:ascii="標楷體" w:hAnsi="標楷體" w:hint="eastAsia"/>
          <w:sz w:val="32"/>
        </w:rPr>
        <w:t>；</w:t>
      </w:r>
      <w:r w:rsidRPr="00CF2EAF">
        <w:rPr>
          <w:rFonts w:ascii="標楷體" w:hAnsi="標楷體" w:hint="eastAsia"/>
          <w:sz w:val="32"/>
        </w:rPr>
        <w:t>依屏東</w:t>
      </w:r>
      <w:r w:rsidR="003634BF">
        <w:rPr>
          <w:rFonts w:ascii="標楷體" w:hAnsi="標楷體" w:hint="eastAsia"/>
          <w:sz w:val="32"/>
        </w:rPr>
        <w:t>縣</w:t>
      </w:r>
      <w:r w:rsidRPr="00CF2EAF">
        <w:rPr>
          <w:rFonts w:ascii="標楷體" w:hAnsi="標楷體" w:hint="eastAsia"/>
          <w:sz w:val="32"/>
        </w:rPr>
        <w:t>、高雄</w:t>
      </w:r>
      <w:r w:rsidR="003634BF">
        <w:rPr>
          <w:rFonts w:ascii="標楷體" w:hAnsi="標楷體" w:hint="eastAsia"/>
          <w:sz w:val="32"/>
        </w:rPr>
        <w:t>市及</w:t>
      </w:r>
      <w:proofErr w:type="gramStart"/>
      <w:r w:rsidRPr="00CF2EAF">
        <w:rPr>
          <w:rFonts w:ascii="標楷體" w:hAnsi="標楷體" w:hint="eastAsia"/>
          <w:sz w:val="32"/>
        </w:rPr>
        <w:t>臺</w:t>
      </w:r>
      <w:proofErr w:type="gramEnd"/>
      <w:r w:rsidRPr="00CF2EAF">
        <w:rPr>
          <w:rFonts w:ascii="標楷體" w:hAnsi="標楷體" w:hint="eastAsia"/>
          <w:sz w:val="32"/>
        </w:rPr>
        <w:t>南</w:t>
      </w:r>
      <w:r w:rsidR="003634BF">
        <w:rPr>
          <w:rFonts w:ascii="標楷體" w:hAnsi="標楷體" w:hint="eastAsia"/>
          <w:sz w:val="32"/>
        </w:rPr>
        <w:t>市</w:t>
      </w:r>
      <w:r w:rsidRPr="00CF2EAF">
        <w:rPr>
          <w:rFonts w:ascii="標楷體" w:hAnsi="標楷體" w:hint="eastAsia"/>
          <w:sz w:val="32"/>
        </w:rPr>
        <w:t>等青</w:t>
      </w:r>
      <w:proofErr w:type="gramStart"/>
      <w:r w:rsidRPr="00CF2EAF">
        <w:rPr>
          <w:rFonts w:ascii="標楷體" w:hAnsi="標楷體" w:hint="eastAsia"/>
          <w:sz w:val="32"/>
        </w:rPr>
        <w:t>斑與龍虎斑之</w:t>
      </w:r>
      <w:proofErr w:type="gramEnd"/>
      <w:r w:rsidRPr="00CF2EAF">
        <w:rPr>
          <w:rFonts w:ascii="標楷體" w:hAnsi="標楷體" w:hint="eastAsia"/>
          <w:sz w:val="32"/>
        </w:rPr>
        <w:t>養殖產量比例</w:t>
      </w:r>
      <w:r w:rsidR="001E73DC" w:rsidRPr="00722BB9">
        <w:rPr>
          <w:rFonts w:ascii="標楷體" w:hAnsi="標楷體" w:hint="eastAsia"/>
          <w:sz w:val="32"/>
        </w:rPr>
        <w:t>（</w:t>
      </w:r>
      <w:r w:rsidRPr="00CF2EAF">
        <w:rPr>
          <w:rFonts w:ascii="標楷體" w:hAnsi="標楷體"/>
          <w:sz w:val="32"/>
        </w:rPr>
        <w:t>52%</w:t>
      </w:r>
      <w:r w:rsidRPr="00CF2EAF">
        <w:rPr>
          <w:rFonts w:ascii="標楷體" w:hAnsi="標楷體" w:hint="eastAsia"/>
          <w:sz w:val="32"/>
        </w:rPr>
        <w:t>、</w:t>
      </w:r>
      <w:r w:rsidRPr="00CF2EAF">
        <w:rPr>
          <w:rFonts w:ascii="標楷體" w:hAnsi="標楷體"/>
          <w:sz w:val="32"/>
        </w:rPr>
        <w:t>32%</w:t>
      </w:r>
      <w:r w:rsidRPr="00CF2EAF">
        <w:rPr>
          <w:rFonts w:ascii="標楷體" w:hAnsi="標楷體" w:hint="eastAsia"/>
          <w:sz w:val="32"/>
        </w:rPr>
        <w:t>、</w:t>
      </w:r>
      <w:r w:rsidRPr="00CF2EAF">
        <w:rPr>
          <w:rFonts w:ascii="標楷體" w:hAnsi="標楷體"/>
          <w:sz w:val="32"/>
        </w:rPr>
        <w:t>16%</w:t>
      </w:r>
      <w:r w:rsidR="001E73DC" w:rsidRPr="00722BB9">
        <w:rPr>
          <w:rFonts w:ascii="標楷體" w:hAnsi="標楷體" w:hint="eastAsia"/>
          <w:sz w:val="32"/>
        </w:rPr>
        <w:t>）</w:t>
      </w:r>
      <w:r w:rsidRPr="00CF2EAF">
        <w:rPr>
          <w:rFonts w:ascii="標楷體" w:hAnsi="標楷體" w:hint="eastAsia"/>
          <w:sz w:val="32"/>
        </w:rPr>
        <w:t>分配，屏東</w:t>
      </w:r>
      <w:r w:rsidR="003634BF">
        <w:rPr>
          <w:rFonts w:ascii="標楷體" w:hAnsi="標楷體" w:hint="eastAsia"/>
          <w:sz w:val="32"/>
        </w:rPr>
        <w:t>縣</w:t>
      </w:r>
      <w:r w:rsidR="00E915D3" w:rsidRPr="00CF2EAF">
        <w:rPr>
          <w:rFonts w:ascii="標楷體" w:hAnsi="標楷體" w:hint="eastAsia"/>
          <w:sz w:val="32"/>
        </w:rPr>
        <w:t>312</w:t>
      </w:r>
      <w:r w:rsidRPr="00CF2EAF">
        <w:rPr>
          <w:rFonts w:ascii="標楷體" w:hAnsi="標楷體" w:hint="eastAsia"/>
          <w:sz w:val="32"/>
        </w:rPr>
        <w:t>公噸、高雄</w:t>
      </w:r>
      <w:r w:rsidR="003634BF">
        <w:rPr>
          <w:rFonts w:ascii="標楷體" w:hAnsi="標楷體" w:hint="eastAsia"/>
          <w:sz w:val="32"/>
        </w:rPr>
        <w:t>市</w:t>
      </w:r>
      <w:r w:rsidR="00E915D3" w:rsidRPr="00CF2EAF">
        <w:rPr>
          <w:rFonts w:ascii="標楷體" w:hAnsi="標楷體" w:hint="eastAsia"/>
          <w:sz w:val="32"/>
        </w:rPr>
        <w:t>193</w:t>
      </w:r>
      <w:r w:rsidRPr="00CF2EAF">
        <w:rPr>
          <w:rFonts w:ascii="標楷體" w:hAnsi="標楷體" w:hint="eastAsia"/>
          <w:sz w:val="32"/>
        </w:rPr>
        <w:t>公噸、</w:t>
      </w:r>
      <w:proofErr w:type="gramStart"/>
      <w:r w:rsidRPr="00CF2EAF">
        <w:rPr>
          <w:rFonts w:ascii="標楷體" w:hAnsi="標楷體" w:hint="eastAsia"/>
          <w:sz w:val="32"/>
        </w:rPr>
        <w:t>臺</w:t>
      </w:r>
      <w:proofErr w:type="gramEnd"/>
      <w:r w:rsidRPr="00CF2EAF">
        <w:rPr>
          <w:rFonts w:ascii="標楷體" w:hAnsi="標楷體" w:hint="eastAsia"/>
          <w:sz w:val="32"/>
        </w:rPr>
        <w:t>南</w:t>
      </w:r>
      <w:r w:rsidR="003634BF">
        <w:rPr>
          <w:rFonts w:ascii="標楷體" w:hAnsi="標楷體" w:hint="eastAsia"/>
          <w:sz w:val="32"/>
        </w:rPr>
        <w:t>市</w:t>
      </w:r>
      <w:r w:rsidR="00E915D3" w:rsidRPr="00CF2EAF">
        <w:rPr>
          <w:rFonts w:ascii="標楷體" w:hAnsi="標楷體" w:hint="eastAsia"/>
          <w:sz w:val="32"/>
        </w:rPr>
        <w:t>95</w:t>
      </w:r>
      <w:r w:rsidRPr="00CF2EAF">
        <w:rPr>
          <w:rFonts w:ascii="標楷體" w:hAnsi="標楷體" w:hint="eastAsia"/>
          <w:sz w:val="32"/>
        </w:rPr>
        <w:t>公噸</w:t>
      </w:r>
      <w:r w:rsidR="00722BB9">
        <w:rPr>
          <w:rFonts w:ascii="標楷體" w:hAnsi="標楷體" w:hint="eastAsia"/>
          <w:sz w:val="32"/>
        </w:rPr>
        <w:t>。</w:t>
      </w:r>
      <w:bookmarkEnd w:id="0"/>
    </w:p>
    <w:p w:rsidR="005C6F0B" w:rsidRDefault="005C6F0B" w:rsidP="005C6F0B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line="560" w:lineRule="exact"/>
        <w:ind w:left="1418" w:firstLineChars="0" w:hanging="992"/>
        <w:jc w:val="both"/>
        <w:rPr>
          <w:rFonts w:ascii="標楷體" w:hAnsi="標楷體"/>
          <w:sz w:val="32"/>
        </w:rPr>
      </w:pPr>
      <w:r w:rsidRPr="005C6F0B">
        <w:rPr>
          <w:rFonts w:ascii="標楷體" w:hAnsi="標楷體" w:hint="eastAsia"/>
          <w:sz w:val="32"/>
        </w:rPr>
        <w:t>執行機關</w:t>
      </w:r>
      <w:proofErr w:type="gramStart"/>
      <w:r w:rsidRPr="005C6F0B">
        <w:rPr>
          <w:rFonts w:ascii="標楷體" w:hAnsi="標楷體" w:hint="eastAsia"/>
          <w:sz w:val="32"/>
        </w:rPr>
        <w:t>一週</w:t>
      </w:r>
      <w:proofErr w:type="gramEnd"/>
      <w:r w:rsidRPr="005C6F0B">
        <w:rPr>
          <w:rFonts w:ascii="標楷體" w:hAnsi="標楷體" w:hint="eastAsia"/>
          <w:sz w:val="32"/>
        </w:rPr>
        <w:t>內皆無執行量或有多餘分配量，應</w:t>
      </w:r>
      <w:proofErr w:type="gramStart"/>
      <w:r w:rsidRPr="005C6F0B">
        <w:rPr>
          <w:rFonts w:ascii="標楷體" w:hAnsi="標楷體" w:hint="eastAsia"/>
          <w:sz w:val="32"/>
        </w:rPr>
        <w:t>通</w:t>
      </w:r>
      <w:r w:rsidRPr="005C6F0B">
        <w:rPr>
          <w:rFonts w:ascii="標楷體" w:hAnsi="標楷體" w:hint="eastAsia"/>
          <w:sz w:val="32"/>
        </w:rPr>
        <w:lastRenderedPageBreak/>
        <w:t>報本署另行</w:t>
      </w:r>
      <w:proofErr w:type="gramEnd"/>
      <w:r w:rsidRPr="005C6F0B">
        <w:rPr>
          <w:rFonts w:ascii="標楷體" w:hAnsi="標楷體" w:hint="eastAsia"/>
          <w:sz w:val="32"/>
        </w:rPr>
        <w:t>統籌調配分配量。</w:t>
      </w:r>
    </w:p>
    <w:p w:rsidR="00CB09F2" w:rsidRDefault="00722BB9" w:rsidP="00CE720B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1276"/>
        </w:tabs>
        <w:spacing w:line="560" w:lineRule="exact"/>
        <w:ind w:left="709" w:firstLineChars="0" w:hanging="709"/>
        <w:jc w:val="both"/>
        <w:rPr>
          <w:rFonts w:ascii="標楷體" w:hAnsi="標楷體" w:hint="eastAsia"/>
          <w:sz w:val="32"/>
        </w:rPr>
      </w:pPr>
      <w:r w:rsidRPr="00CE720B">
        <w:rPr>
          <w:rFonts w:ascii="標楷體" w:hAnsi="標楷體" w:hint="eastAsia"/>
          <w:sz w:val="32"/>
        </w:rPr>
        <w:t>執行</w:t>
      </w:r>
      <w:r w:rsidR="00E915D3" w:rsidRPr="00CE720B">
        <w:rPr>
          <w:rFonts w:ascii="標楷體" w:hAnsi="標楷體" w:hint="eastAsia"/>
          <w:sz w:val="32"/>
        </w:rPr>
        <w:t>期限：</w:t>
      </w:r>
      <w:r w:rsidR="003814B1">
        <w:rPr>
          <w:rFonts w:ascii="標楷體" w:hAnsi="標楷體" w:hint="eastAsia"/>
          <w:sz w:val="32"/>
        </w:rPr>
        <w:t>兩</w:t>
      </w:r>
      <w:proofErr w:type="gramStart"/>
      <w:r w:rsidR="00137F01">
        <w:rPr>
          <w:rFonts w:ascii="標楷體" w:hAnsi="標楷體" w:hint="eastAsia"/>
          <w:sz w:val="32"/>
        </w:rPr>
        <w:t>週</w:t>
      </w:r>
      <w:proofErr w:type="gramEnd"/>
      <w:r w:rsidR="003634BF">
        <w:rPr>
          <w:rFonts w:ascii="標楷體" w:hAnsi="標楷體" w:hint="eastAsia"/>
          <w:sz w:val="32"/>
        </w:rPr>
        <w:t>內</w:t>
      </w:r>
      <w:r w:rsidR="00B84EAA" w:rsidRPr="008D2980">
        <w:rPr>
          <w:rFonts w:ascii="標楷體" w:hint="eastAsia"/>
          <w:sz w:val="32"/>
          <w:szCs w:val="30"/>
        </w:rPr>
        <w:t>（</w:t>
      </w:r>
      <w:r w:rsidR="00B84EAA">
        <w:rPr>
          <w:rFonts w:ascii="標楷體" w:hint="eastAsia"/>
          <w:sz w:val="32"/>
          <w:szCs w:val="30"/>
        </w:rPr>
        <w:t>3月</w:t>
      </w:r>
      <w:r w:rsidR="00B84EAA">
        <w:rPr>
          <w:rFonts w:ascii="標楷體"/>
          <w:sz w:val="32"/>
          <w:szCs w:val="30"/>
        </w:rPr>
        <w:t>8</w:t>
      </w:r>
      <w:r w:rsidR="00B84EAA">
        <w:rPr>
          <w:rFonts w:ascii="標楷體" w:hint="eastAsia"/>
          <w:sz w:val="32"/>
          <w:szCs w:val="30"/>
        </w:rPr>
        <w:t>日至3月</w:t>
      </w:r>
      <w:r w:rsidR="00B84EAA">
        <w:rPr>
          <w:rFonts w:ascii="標楷體"/>
          <w:sz w:val="32"/>
          <w:szCs w:val="30"/>
        </w:rPr>
        <w:t>22</w:t>
      </w:r>
      <w:r w:rsidR="00B84EAA">
        <w:rPr>
          <w:rFonts w:ascii="標楷體" w:hint="eastAsia"/>
          <w:sz w:val="32"/>
          <w:szCs w:val="30"/>
        </w:rPr>
        <w:t>日</w:t>
      </w:r>
      <w:r w:rsidR="00C7557D">
        <w:rPr>
          <w:rFonts w:ascii="標楷體" w:hint="eastAsia"/>
          <w:sz w:val="32"/>
          <w:szCs w:val="30"/>
        </w:rPr>
        <w:t>止</w:t>
      </w:r>
      <w:r w:rsidR="00B84EAA" w:rsidRPr="008D2980">
        <w:rPr>
          <w:rFonts w:ascii="標楷體" w:hint="eastAsia"/>
          <w:sz w:val="32"/>
          <w:szCs w:val="30"/>
        </w:rPr>
        <w:t>）</w:t>
      </w:r>
      <w:r w:rsidR="00E915D3" w:rsidRPr="00CE720B">
        <w:rPr>
          <w:rFonts w:ascii="標楷體" w:hAnsi="標楷體" w:hint="eastAsia"/>
          <w:sz w:val="32"/>
        </w:rPr>
        <w:t>，或</w:t>
      </w:r>
      <w:r w:rsidR="00843CB5" w:rsidRPr="00CE720B">
        <w:rPr>
          <w:rFonts w:ascii="標楷體" w:hAnsi="標楷體" w:hint="eastAsia"/>
          <w:sz w:val="32"/>
        </w:rPr>
        <w:t>產地平均</w:t>
      </w:r>
      <w:r w:rsidR="00E915D3" w:rsidRPr="00CE720B">
        <w:rPr>
          <w:rFonts w:ascii="標楷體" w:hAnsi="標楷體" w:hint="eastAsia"/>
          <w:sz w:val="32"/>
        </w:rPr>
        <w:t>價</w:t>
      </w:r>
      <w:r w:rsidR="00843CB5" w:rsidRPr="00CE720B">
        <w:rPr>
          <w:rFonts w:ascii="標楷體" w:hAnsi="標楷體" w:hint="eastAsia"/>
          <w:sz w:val="32"/>
        </w:rPr>
        <w:t>格</w:t>
      </w:r>
      <w:r w:rsidRPr="00CE720B">
        <w:rPr>
          <w:rFonts w:ascii="標楷體" w:hAnsi="標楷體" w:hint="eastAsia"/>
          <w:sz w:val="32"/>
        </w:rPr>
        <w:t>回穩</w:t>
      </w:r>
      <w:r w:rsidR="00CE720B">
        <w:rPr>
          <w:rFonts w:ascii="標楷體" w:hAnsi="標楷體" w:hint="eastAsia"/>
          <w:sz w:val="32"/>
        </w:rPr>
        <w:t>至</w:t>
      </w:r>
      <w:r w:rsidR="00E915D3" w:rsidRPr="00CE720B">
        <w:rPr>
          <w:rFonts w:ascii="標楷體" w:hAnsi="標楷體" w:hint="eastAsia"/>
          <w:sz w:val="32"/>
        </w:rPr>
        <w:t>青斑2</w:t>
      </w:r>
      <w:bookmarkStart w:id="1" w:name="_GoBack"/>
      <w:bookmarkEnd w:id="1"/>
      <w:r w:rsidR="00CD6E6E" w:rsidRPr="00CE720B">
        <w:rPr>
          <w:rFonts w:ascii="標楷體" w:hAnsi="標楷體" w:hint="eastAsia"/>
          <w:sz w:val="32"/>
        </w:rPr>
        <w:t>2</w:t>
      </w:r>
      <w:r w:rsidR="00E915D3" w:rsidRPr="00CE720B">
        <w:rPr>
          <w:rFonts w:ascii="標楷體" w:hAnsi="標楷體" w:hint="eastAsia"/>
          <w:sz w:val="32"/>
        </w:rPr>
        <w:t>0元/公斤、</w:t>
      </w:r>
      <w:proofErr w:type="gramStart"/>
      <w:r w:rsidR="00E915D3" w:rsidRPr="00CE720B">
        <w:rPr>
          <w:rFonts w:ascii="標楷體" w:hAnsi="標楷體" w:hint="eastAsia"/>
          <w:sz w:val="32"/>
        </w:rPr>
        <w:t>龍虎斑</w:t>
      </w:r>
      <w:r w:rsidR="003814B1">
        <w:rPr>
          <w:rFonts w:ascii="標楷體" w:hAnsi="標楷體" w:hint="eastAsia"/>
          <w:sz w:val="32"/>
        </w:rPr>
        <w:t>240</w:t>
      </w:r>
      <w:r w:rsidR="00E915D3" w:rsidRPr="00CE720B">
        <w:rPr>
          <w:rFonts w:ascii="標楷體" w:hAnsi="標楷體" w:hint="eastAsia"/>
          <w:sz w:val="32"/>
        </w:rPr>
        <w:t>元</w:t>
      </w:r>
      <w:proofErr w:type="gramEnd"/>
      <w:r w:rsidR="00E915D3" w:rsidRPr="00CE720B">
        <w:rPr>
          <w:rFonts w:ascii="標楷體" w:hAnsi="標楷體" w:hint="eastAsia"/>
          <w:sz w:val="32"/>
        </w:rPr>
        <w:t>/</w:t>
      </w:r>
      <w:r w:rsidR="00CE720B" w:rsidRPr="00CE720B">
        <w:rPr>
          <w:rFonts w:ascii="標楷體" w:hAnsi="標楷體" w:hint="eastAsia"/>
          <w:sz w:val="32"/>
        </w:rPr>
        <w:t>公斤。</w:t>
      </w:r>
    </w:p>
    <w:p w:rsidR="00CC0478" w:rsidRPr="00CE720B" w:rsidRDefault="00CC0478" w:rsidP="0090657B">
      <w:pPr>
        <w:pStyle w:val="a3"/>
        <w:tabs>
          <w:tab w:val="left" w:pos="0"/>
          <w:tab w:val="left" w:pos="709"/>
          <w:tab w:val="left" w:pos="1276"/>
        </w:tabs>
        <w:spacing w:line="560" w:lineRule="exact"/>
        <w:ind w:left="709" w:firstLineChars="0" w:firstLine="0"/>
        <w:jc w:val="both"/>
        <w:rPr>
          <w:rFonts w:ascii="標楷體" w:hAnsi="標楷體"/>
          <w:sz w:val="32"/>
        </w:rPr>
      </w:pPr>
    </w:p>
    <w:sectPr w:rsidR="00CC0478" w:rsidRPr="00CE720B" w:rsidSect="00E82B0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9D" w:rsidRDefault="0019689D" w:rsidP="00276128">
      <w:r>
        <w:separator/>
      </w:r>
    </w:p>
  </w:endnote>
  <w:endnote w:type="continuationSeparator" w:id="0">
    <w:p w:rsidR="0019689D" w:rsidRDefault="0019689D" w:rsidP="00276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3128"/>
      <w:docPartObj>
        <w:docPartGallery w:val="Page Numbers (Bottom of Page)"/>
        <w:docPartUnique/>
      </w:docPartObj>
    </w:sdtPr>
    <w:sdtContent>
      <w:p w:rsidR="0090657B" w:rsidRDefault="0090657B">
        <w:pPr>
          <w:pStyle w:val="a7"/>
          <w:jc w:val="center"/>
        </w:pPr>
        <w:fldSimple w:instr=" PAGE   \* MERGEFORMAT ">
          <w:r w:rsidRPr="0090657B">
            <w:rPr>
              <w:noProof/>
              <w:lang w:val="zh-TW"/>
            </w:rPr>
            <w:t>1</w:t>
          </w:r>
        </w:fldSimple>
      </w:p>
    </w:sdtContent>
  </w:sdt>
  <w:p w:rsidR="0090657B" w:rsidRDefault="009065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9D" w:rsidRDefault="0019689D" w:rsidP="00276128">
      <w:r>
        <w:separator/>
      </w:r>
    </w:p>
  </w:footnote>
  <w:footnote w:type="continuationSeparator" w:id="0">
    <w:p w:rsidR="0019689D" w:rsidRDefault="0019689D" w:rsidP="00276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098"/>
    <w:multiLevelType w:val="hybridMultilevel"/>
    <w:tmpl w:val="AD74C17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174F693D"/>
    <w:multiLevelType w:val="hybridMultilevel"/>
    <w:tmpl w:val="093CB034"/>
    <w:lvl w:ilvl="0" w:tplc="D31EE7D4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C2362F"/>
    <w:multiLevelType w:val="hybridMultilevel"/>
    <w:tmpl w:val="24D094E6"/>
    <w:lvl w:ilvl="0" w:tplc="E682CECC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4D771BE9"/>
    <w:multiLevelType w:val="hybridMultilevel"/>
    <w:tmpl w:val="05226650"/>
    <w:lvl w:ilvl="0" w:tplc="3DE27FAE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1654A6"/>
    <w:multiLevelType w:val="hybridMultilevel"/>
    <w:tmpl w:val="01FC6338"/>
    <w:lvl w:ilvl="0" w:tplc="FBB26F72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55FA252A"/>
    <w:multiLevelType w:val="hybridMultilevel"/>
    <w:tmpl w:val="F8D4A08A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748B3ECB"/>
    <w:multiLevelType w:val="hybridMultilevel"/>
    <w:tmpl w:val="41E8B144"/>
    <w:lvl w:ilvl="0" w:tplc="72D267CC">
      <w:start w:val="1"/>
      <w:numFmt w:val="ideographDigital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28B"/>
    <w:rsid w:val="00137F01"/>
    <w:rsid w:val="0019689D"/>
    <w:rsid w:val="001B287D"/>
    <w:rsid w:val="001C5AD6"/>
    <w:rsid w:val="001E73DC"/>
    <w:rsid w:val="00276128"/>
    <w:rsid w:val="003634BF"/>
    <w:rsid w:val="003814B1"/>
    <w:rsid w:val="00397F4D"/>
    <w:rsid w:val="003B6294"/>
    <w:rsid w:val="00410FF8"/>
    <w:rsid w:val="00431E98"/>
    <w:rsid w:val="005C6F0B"/>
    <w:rsid w:val="005E2FDA"/>
    <w:rsid w:val="006540EE"/>
    <w:rsid w:val="00660906"/>
    <w:rsid w:val="00675622"/>
    <w:rsid w:val="0068170A"/>
    <w:rsid w:val="00722BB9"/>
    <w:rsid w:val="00843CB5"/>
    <w:rsid w:val="0087398A"/>
    <w:rsid w:val="00886B46"/>
    <w:rsid w:val="008E5F37"/>
    <w:rsid w:val="008F67B7"/>
    <w:rsid w:val="0090657B"/>
    <w:rsid w:val="0097463A"/>
    <w:rsid w:val="009972F8"/>
    <w:rsid w:val="009D0F9C"/>
    <w:rsid w:val="009E5C5D"/>
    <w:rsid w:val="00A044B6"/>
    <w:rsid w:val="00AE65FA"/>
    <w:rsid w:val="00B34CC5"/>
    <w:rsid w:val="00B52B1F"/>
    <w:rsid w:val="00B71562"/>
    <w:rsid w:val="00B84EAA"/>
    <w:rsid w:val="00B92458"/>
    <w:rsid w:val="00BC6F9C"/>
    <w:rsid w:val="00BF5393"/>
    <w:rsid w:val="00BF5C31"/>
    <w:rsid w:val="00C66B98"/>
    <w:rsid w:val="00C7557D"/>
    <w:rsid w:val="00C963D0"/>
    <w:rsid w:val="00CB09F2"/>
    <w:rsid w:val="00CC0478"/>
    <w:rsid w:val="00CD6E6E"/>
    <w:rsid w:val="00CE720B"/>
    <w:rsid w:val="00CF2EAF"/>
    <w:rsid w:val="00D1264B"/>
    <w:rsid w:val="00D561AF"/>
    <w:rsid w:val="00D724A1"/>
    <w:rsid w:val="00DA5294"/>
    <w:rsid w:val="00DD6080"/>
    <w:rsid w:val="00E5720D"/>
    <w:rsid w:val="00E82B0D"/>
    <w:rsid w:val="00E915D3"/>
    <w:rsid w:val="00F06056"/>
    <w:rsid w:val="00F1228B"/>
    <w:rsid w:val="00F73FA9"/>
    <w:rsid w:val="00F85FC4"/>
    <w:rsid w:val="00FE68EE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228B"/>
    <w:pPr>
      <w:ind w:left="1092" w:hangingChars="390" w:hanging="1092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4">
    <w:name w:val="本文縮排 字元"/>
    <w:basedOn w:val="a0"/>
    <w:link w:val="a3"/>
    <w:rsid w:val="00F1228B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27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61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61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陳惠貞</dc:creator>
  <cp:lastModifiedBy>李鳳英</cp:lastModifiedBy>
  <cp:revision>17</cp:revision>
  <cp:lastPrinted>2019-03-08T04:21:00Z</cp:lastPrinted>
  <dcterms:created xsi:type="dcterms:W3CDTF">2019-03-07T07:32:00Z</dcterms:created>
  <dcterms:modified xsi:type="dcterms:W3CDTF">2019-03-08T04:27:00Z</dcterms:modified>
</cp:coreProperties>
</file>