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D56" w:rsidRPr="00800D56" w:rsidRDefault="00800D56" w:rsidP="00800D56">
      <w:pPr>
        <w:spacing w:line="0" w:lineRule="atLeast"/>
        <w:jc w:val="center"/>
        <w:rPr>
          <w:rFonts w:ascii="標楷體" w:eastAsia="標楷體" w:hAnsi="標楷體"/>
          <w:b/>
          <w:sz w:val="36"/>
          <w:szCs w:val="36"/>
        </w:rPr>
      </w:pPr>
      <w:r w:rsidRPr="00800D56">
        <w:rPr>
          <w:rFonts w:ascii="標楷體" w:eastAsia="標楷體" w:hAnsi="標楷體" w:hint="eastAsia"/>
          <w:b/>
          <w:sz w:val="36"/>
          <w:szCs w:val="36"/>
        </w:rPr>
        <w:t>高雄市桃源區公所</w:t>
      </w:r>
    </w:p>
    <w:p w:rsidR="00800D56" w:rsidRPr="00800D56" w:rsidRDefault="00800D56" w:rsidP="00800D56">
      <w:pPr>
        <w:spacing w:line="0" w:lineRule="atLeast"/>
        <w:jc w:val="center"/>
        <w:rPr>
          <w:rFonts w:ascii="標楷體" w:eastAsia="標楷體" w:hAnsi="標楷體"/>
          <w:b/>
          <w:sz w:val="36"/>
          <w:szCs w:val="36"/>
        </w:rPr>
      </w:pPr>
      <w:r w:rsidRPr="00800D56">
        <w:rPr>
          <w:rFonts w:ascii="標楷體" w:eastAsia="標楷體" w:hAnsi="標楷體" w:hint="eastAsia"/>
          <w:b/>
          <w:sz w:val="36"/>
          <w:szCs w:val="36"/>
        </w:rPr>
        <w:t>簡易自來水管理委員會補助要點</w:t>
      </w:r>
    </w:p>
    <w:p w:rsidR="00800D56" w:rsidRPr="00800D56" w:rsidRDefault="00800D56" w:rsidP="00800D56">
      <w:pPr>
        <w:spacing w:beforeLines="50" w:before="180" w:line="480" w:lineRule="exact"/>
        <w:ind w:left="560" w:hangingChars="200" w:hanging="560"/>
        <w:jc w:val="both"/>
        <w:rPr>
          <w:rFonts w:ascii="標楷體" w:eastAsia="標楷體" w:hAnsi="標楷體"/>
          <w:sz w:val="28"/>
          <w:szCs w:val="28"/>
        </w:rPr>
      </w:pPr>
      <w:r w:rsidRPr="00800D56">
        <w:rPr>
          <w:rFonts w:ascii="標楷體" w:eastAsia="標楷體" w:hAnsi="標楷體" w:hint="eastAsia"/>
          <w:sz w:val="28"/>
          <w:szCs w:val="28"/>
        </w:rPr>
        <w:t>一、目的：高雄市桃源區公所（下稱本所）為輔導高雄市桃源區（下稱本區）</w:t>
      </w:r>
      <w:r w:rsidRPr="00800D56">
        <w:rPr>
          <w:rFonts w:ascii="標楷體" w:eastAsia="標楷體" w:hAnsi="標楷體" w:cs="TTB7CF9C5CtCID-WinCharSetFFFF-H" w:hint="eastAsia"/>
          <w:sz w:val="28"/>
          <w:szCs w:val="28"/>
        </w:rPr>
        <w:t>簡易自來水管理委員會</w:t>
      </w:r>
      <w:r w:rsidRPr="00800D56">
        <w:rPr>
          <w:rFonts w:ascii="標楷體" w:eastAsia="標楷體" w:hAnsi="標楷體" w:hint="eastAsia"/>
          <w:sz w:val="28"/>
          <w:szCs w:val="28"/>
        </w:rPr>
        <w:t>正常業務運作，保障當地用水權益特訂定本要點。</w:t>
      </w:r>
    </w:p>
    <w:p w:rsidR="00800D56" w:rsidRPr="00800D56" w:rsidRDefault="00800D56" w:rsidP="00800D56">
      <w:pPr>
        <w:spacing w:beforeLines="50" w:before="180" w:line="480" w:lineRule="exact"/>
        <w:ind w:left="560" w:hangingChars="200" w:hanging="560"/>
        <w:jc w:val="both"/>
        <w:rPr>
          <w:rFonts w:ascii="標楷體" w:eastAsia="標楷體" w:hAnsi="標楷體" w:cs="TTB7CF9C5CtCID-WinCharSetFFFF-H"/>
          <w:sz w:val="28"/>
          <w:szCs w:val="28"/>
        </w:rPr>
      </w:pPr>
      <w:r w:rsidRPr="00800D56">
        <w:rPr>
          <w:rFonts w:ascii="標楷體" w:eastAsia="標楷體" w:hAnsi="標楷體" w:cs="TTB7CF9C5CtCID-WinCharSetFFFF-H" w:hint="eastAsia"/>
          <w:sz w:val="28"/>
          <w:szCs w:val="28"/>
        </w:rPr>
        <w:t>二、本要點補助對象為設立本區並經高雄市政府經濟發展局事業核准立案，且會務、財務皆健全之簡易自來水管理委員會(下稱管委會)。</w:t>
      </w:r>
    </w:p>
    <w:p w:rsidR="00800D56" w:rsidRPr="00800D56" w:rsidRDefault="00800D56" w:rsidP="00800D56">
      <w:pPr>
        <w:spacing w:beforeLines="50" w:before="180" w:line="480" w:lineRule="exact"/>
        <w:ind w:left="560" w:hangingChars="200" w:hanging="560"/>
        <w:jc w:val="both"/>
        <w:rPr>
          <w:rFonts w:ascii="標楷體" w:eastAsia="標楷體" w:hAnsi="標楷體"/>
          <w:sz w:val="28"/>
          <w:szCs w:val="28"/>
        </w:rPr>
      </w:pPr>
      <w:r w:rsidRPr="00800D56">
        <w:rPr>
          <w:rFonts w:ascii="標楷體" w:eastAsia="標楷體" w:hAnsi="標楷體" w:cs="TTB7CF9C5CtCID-WinCharSetFFFF-H" w:hint="eastAsia"/>
          <w:sz w:val="28"/>
          <w:szCs w:val="28"/>
        </w:rPr>
        <w:t>三、</w:t>
      </w:r>
      <w:r w:rsidRPr="00800D56">
        <w:rPr>
          <w:rFonts w:ascii="標楷體" w:eastAsia="標楷體" w:hAnsi="標楷體" w:hint="eastAsia"/>
          <w:sz w:val="28"/>
          <w:szCs w:val="28"/>
        </w:rPr>
        <w:t>補助經費來源：本所年度編列預算。</w:t>
      </w:r>
    </w:p>
    <w:p w:rsidR="00800D56" w:rsidRPr="00800D56" w:rsidRDefault="00800D56" w:rsidP="00800D56">
      <w:pPr>
        <w:spacing w:beforeLines="50" w:before="180" w:line="480" w:lineRule="exact"/>
        <w:ind w:left="560" w:hangingChars="200" w:hanging="560"/>
        <w:jc w:val="both"/>
        <w:rPr>
          <w:rFonts w:ascii="標楷體" w:eastAsia="標楷體" w:hAnsi="標楷體"/>
          <w:sz w:val="28"/>
          <w:szCs w:val="28"/>
        </w:rPr>
      </w:pPr>
      <w:r w:rsidRPr="00800D56">
        <w:rPr>
          <w:rFonts w:ascii="標楷體" w:eastAsia="標楷體" w:hAnsi="標楷體" w:hint="eastAsia"/>
          <w:sz w:val="28"/>
          <w:szCs w:val="28"/>
        </w:rPr>
        <w:t>四、補助原則：</w:t>
      </w:r>
    </w:p>
    <w:p w:rsidR="00800D56" w:rsidRPr="00800D56" w:rsidRDefault="00800D56" w:rsidP="00800D56">
      <w:pPr>
        <w:spacing w:beforeLines="50" w:before="180" w:line="480" w:lineRule="exact"/>
        <w:ind w:leftChars="100" w:left="820" w:hangingChars="200" w:hanging="560"/>
        <w:jc w:val="both"/>
        <w:rPr>
          <w:rFonts w:ascii="標楷體" w:eastAsia="標楷體" w:hAnsi="標楷體" w:cs="TTB7CF9C5CtCID-WinCharSetFFFF-H"/>
          <w:sz w:val="28"/>
          <w:szCs w:val="28"/>
        </w:rPr>
      </w:pPr>
      <w:r w:rsidRPr="00800D56">
        <w:rPr>
          <w:rFonts w:ascii="標楷體" w:eastAsia="標楷體" w:hAnsi="標楷體" w:cs="TTB7CF9C5CtCID-WinCharSetFFFF-H" w:hint="eastAsia"/>
          <w:sz w:val="28"/>
          <w:szCs w:val="28"/>
        </w:rPr>
        <w:t>（一）</w:t>
      </w:r>
      <w:r w:rsidRPr="00382D6B">
        <w:rPr>
          <w:rFonts w:ascii="標楷體" w:eastAsia="標楷體" w:hAnsi="標楷體" w:cs="TTB7CF9C5CtCID-WinCharSetFFFF-H" w:hint="eastAsia"/>
          <w:color w:val="FF0000"/>
          <w:sz w:val="28"/>
          <w:szCs w:val="28"/>
        </w:rPr>
        <w:t>補助方式：提報年度計畫書並經本所審核通過後，以每月申請補助一次為原則，每一管委會每年累計補助額度以新臺幣</w:t>
      </w:r>
      <w:r w:rsidR="00382D6B" w:rsidRPr="00382D6B">
        <w:rPr>
          <w:rFonts w:ascii="標楷體" w:eastAsia="標楷體" w:hAnsi="標楷體" w:cs="TTB7CF9C5CtCID-WinCharSetFFFF-H" w:hint="eastAsia"/>
          <w:color w:val="FF0000"/>
          <w:sz w:val="28"/>
          <w:szCs w:val="28"/>
        </w:rPr>
        <w:t>3</w:t>
      </w:r>
      <w:r w:rsidRPr="00382D6B">
        <w:rPr>
          <w:rFonts w:ascii="標楷體" w:eastAsia="標楷體" w:hAnsi="標楷體" w:cs="TTB7CF9C5CtCID-WinCharSetFFFF-H" w:hint="eastAsia"/>
          <w:color w:val="FF0000"/>
          <w:sz w:val="28"/>
          <w:szCs w:val="28"/>
        </w:rPr>
        <w:t>萬元為限。</w:t>
      </w:r>
    </w:p>
    <w:p w:rsidR="00800D56" w:rsidRPr="00800D56" w:rsidRDefault="00800D56" w:rsidP="00800D56">
      <w:pPr>
        <w:autoSpaceDE w:val="0"/>
        <w:autoSpaceDN w:val="0"/>
        <w:adjustRightInd w:val="0"/>
        <w:spacing w:beforeLines="50" w:before="180" w:line="480" w:lineRule="exact"/>
        <w:ind w:leftChars="100" w:left="260"/>
        <w:rPr>
          <w:rFonts w:ascii="標楷體" w:eastAsia="標楷體" w:hAnsi="標楷體" w:cs="TTB7CF9C5CtCID-WinCharSetFFFF-H"/>
          <w:sz w:val="28"/>
          <w:szCs w:val="28"/>
        </w:rPr>
      </w:pPr>
      <w:r w:rsidRPr="00800D56">
        <w:rPr>
          <w:rFonts w:ascii="標楷體" w:eastAsia="標楷體" w:hAnsi="標楷體" w:cs="TTB7CF9C5CtCID-WinCharSetFFFF-H" w:hint="eastAsia"/>
          <w:sz w:val="28"/>
          <w:szCs w:val="28"/>
        </w:rPr>
        <w:t>（二）</w:t>
      </w:r>
      <w:r w:rsidRPr="00382D6B">
        <w:rPr>
          <w:rFonts w:ascii="標楷體" w:eastAsia="標楷體" w:hAnsi="標楷體" w:cs="TTB7CF9C5CtCID-WinCharSetFFFF-H" w:hint="eastAsia"/>
          <w:color w:val="FF0000"/>
          <w:sz w:val="28"/>
          <w:szCs w:val="28"/>
        </w:rPr>
        <w:t>補助項目：維</w:t>
      </w:r>
      <w:r w:rsidRPr="00382D6B">
        <w:rPr>
          <w:rFonts w:ascii="標楷體" w:eastAsia="標楷體" w:hAnsi="標楷體" w:hint="eastAsia"/>
          <w:color w:val="FF0000"/>
          <w:sz w:val="28"/>
          <w:szCs w:val="28"/>
        </w:rPr>
        <w:t>護、修繕簡易自來水系統相關設施。</w:t>
      </w:r>
    </w:p>
    <w:p w:rsidR="00800D56" w:rsidRPr="00800D56" w:rsidRDefault="00800D56" w:rsidP="00800D56">
      <w:pPr>
        <w:spacing w:line="480" w:lineRule="exact"/>
        <w:jc w:val="both"/>
        <w:rPr>
          <w:rFonts w:ascii="標楷體" w:eastAsia="標楷體" w:hAnsi="標楷體"/>
          <w:sz w:val="28"/>
          <w:szCs w:val="28"/>
        </w:rPr>
      </w:pPr>
      <w:r w:rsidRPr="00800D56">
        <w:rPr>
          <w:rFonts w:ascii="標楷體" w:eastAsia="標楷體" w:hAnsi="標楷體" w:hint="eastAsia"/>
          <w:sz w:val="28"/>
          <w:szCs w:val="28"/>
        </w:rPr>
        <w:t>五、核銷原則：</w:t>
      </w:r>
    </w:p>
    <w:p w:rsidR="00800D56" w:rsidRPr="00382D6B" w:rsidRDefault="00800D56" w:rsidP="00800D56">
      <w:pPr>
        <w:spacing w:line="480" w:lineRule="exact"/>
        <w:ind w:leftChars="134" w:left="1188" w:hangingChars="300" w:hanging="840"/>
        <w:jc w:val="both"/>
        <w:rPr>
          <w:rFonts w:ascii="標楷體" w:eastAsia="標楷體" w:hAnsi="標楷體"/>
          <w:color w:val="FF0000"/>
          <w:kern w:val="2"/>
          <w:sz w:val="28"/>
          <w:szCs w:val="28"/>
        </w:rPr>
      </w:pPr>
      <w:r w:rsidRPr="00800D56">
        <w:rPr>
          <w:rFonts w:ascii="標楷體" w:eastAsia="標楷體" w:hAnsi="標楷體" w:hint="eastAsia"/>
          <w:kern w:val="2"/>
          <w:sz w:val="28"/>
          <w:szCs w:val="28"/>
        </w:rPr>
        <w:t>（一）</w:t>
      </w:r>
      <w:r w:rsidRPr="00382D6B">
        <w:rPr>
          <w:rFonts w:ascii="標楷體" w:eastAsia="標楷體" w:hAnsi="標楷體" w:hint="eastAsia"/>
          <w:color w:val="FF0000"/>
          <w:kern w:val="2"/>
          <w:sz w:val="28"/>
          <w:szCs w:val="28"/>
        </w:rPr>
        <w:t>檢具維護、修繕費用之收據、前後照片對照等相關資料，送本所核銷。</w:t>
      </w:r>
    </w:p>
    <w:p w:rsidR="00800D56" w:rsidRPr="00800D56" w:rsidRDefault="00800D56" w:rsidP="00800D56">
      <w:pPr>
        <w:tabs>
          <w:tab w:val="left" w:pos="426"/>
        </w:tabs>
        <w:spacing w:line="480" w:lineRule="exact"/>
        <w:ind w:left="1131" w:hangingChars="404" w:hanging="1131"/>
        <w:contextualSpacing/>
        <w:rPr>
          <w:rFonts w:ascii="標楷體" w:eastAsia="標楷體" w:hAnsi="標楷體"/>
          <w:sz w:val="28"/>
          <w:szCs w:val="28"/>
        </w:rPr>
      </w:pPr>
      <w:r w:rsidRPr="00800D56">
        <w:rPr>
          <w:rFonts w:ascii="標楷體" w:eastAsia="標楷體" w:hAnsi="標楷體"/>
          <w:sz w:val="28"/>
          <w:szCs w:val="28"/>
        </w:rPr>
        <w:t xml:space="preserve">  </w:t>
      </w:r>
      <w:r w:rsidRPr="00800D56">
        <w:rPr>
          <w:rFonts w:ascii="標楷體" w:eastAsia="標楷體" w:hAnsi="標楷體" w:hint="eastAsia"/>
          <w:sz w:val="28"/>
          <w:szCs w:val="28"/>
        </w:rPr>
        <w:t>（二）</w:t>
      </w:r>
      <w:r w:rsidRPr="00382D6B">
        <w:rPr>
          <w:rFonts w:ascii="標楷體" w:eastAsia="標楷體" w:hAnsi="標楷體" w:hint="eastAsia"/>
          <w:color w:val="FF0000"/>
          <w:sz w:val="28"/>
          <w:szCs w:val="28"/>
        </w:rPr>
        <w:t>檢具資料有欠缺或不合規定者，應於收受本所通知後10日內補正；屆期未補正或補正仍不符規定者，當次核銷資料不予補助。</w:t>
      </w:r>
    </w:p>
    <w:p w:rsidR="00800D56" w:rsidRPr="00800D56" w:rsidRDefault="00800D56" w:rsidP="00800D56">
      <w:pPr>
        <w:tabs>
          <w:tab w:val="left" w:pos="426"/>
        </w:tabs>
        <w:spacing w:line="480" w:lineRule="exact"/>
        <w:ind w:left="1131" w:hangingChars="404" w:hanging="1131"/>
        <w:contextualSpacing/>
        <w:rPr>
          <w:rFonts w:ascii="標楷體" w:eastAsia="標楷體" w:hAnsi="標楷體"/>
          <w:sz w:val="28"/>
          <w:szCs w:val="28"/>
        </w:rPr>
      </w:pPr>
      <w:r w:rsidRPr="00800D56">
        <w:rPr>
          <w:rFonts w:ascii="標楷體" w:eastAsia="標楷體" w:hAnsi="標楷體" w:hint="eastAsia"/>
          <w:sz w:val="28"/>
          <w:szCs w:val="28"/>
        </w:rPr>
        <w:t xml:space="preserve">   (三) </w:t>
      </w:r>
      <w:r w:rsidRPr="00382D6B">
        <w:rPr>
          <w:rFonts w:ascii="標楷體" w:eastAsia="標楷體" w:hAnsi="標楷體" w:hint="eastAsia"/>
          <w:color w:val="FF0000"/>
          <w:sz w:val="28"/>
          <w:szCs w:val="28"/>
        </w:rPr>
        <w:t>申請補助時間至每年12月15日止。</w:t>
      </w:r>
    </w:p>
    <w:p w:rsidR="00800D56" w:rsidRPr="00800D56" w:rsidRDefault="00800D56" w:rsidP="00800D56">
      <w:pPr>
        <w:spacing w:line="480" w:lineRule="exact"/>
        <w:ind w:leftChars="1" w:left="496" w:hangingChars="176" w:hanging="493"/>
        <w:jc w:val="both"/>
        <w:rPr>
          <w:rFonts w:ascii="標楷體" w:eastAsia="標楷體" w:hAnsi="標楷體"/>
          <w:sz w:val="28"/>
          <w:szCs w:val="28"/>
          <w:shd w:val="clear" w:color="auto" w:fill="FFFFFF"/>
        </w:rPr>
      </w:pPr>
      <w:r w:rsidRPr="00800D56">
        <w:rPr>
          <w:rFonts w:ascii="標楷體" w:eastAsia="標楷體" w:hAnsi="標楷體" w:hint="eastAsia"/>
          <w:sz w:val="28"/>
          <w:szCs w:val="28"/>
        </w:rPr>
        <w:t>六、受補助單位應確實依計畫執行，本所</w:t>
      </w:r>
      <w:r w:rsidRPr="00800D56">
        <w:rPr>
          <w:rFonts w:ascii="標楷體" w:eastAsia="標楷體" w:hAnsi="標楷體" w:hint="eastAsia"/>
          <w:sz w:val="28"/>
          <w:szCs w:val="28"/>
          <w:shd w:val="clear" w:color="auto" w:fill="FFFFFF"/>
        </w:rPr>
        <w:t>得不定時辦理查證或考核作業，受補助單位應備妥相關資料供查證或考核</w:t>
      </w:r>
      <w:r w:rsidRPr="00800D56">
        <w:rPr>
          <w:rFonts w:ascii="標楷體" w:eastAsia="標楷體" w:hAnsi="標楷體" w:hint="eastAsia"/>
          <w:sz w:val="28"/>
          <w:szCs w:val="28"/>
        </w:rPr>
        <w:t>，以符合本要點相關規定</w:t>
      </w:r>
      <w:r w:rsidRPr="00800D56">
        <w:rPr>
          <w:rFonts w:ascii="標楷體" w:eastAsia="標楷體" w:hAnsi="標楷體" w:hint="eastAsia"/>
          <w:sz w:val="28"/>
          <w:szCs w:val="28"/>
          <w:shd w:val="clear" w:color="auto" w:fill="FFFFFF"/>
        </w:rPr>
        <w:t>。</w:t>
      </w:r>
    </w:p>
    <w:p w:rsidR="00800D56" w:rsidRPr="00800D56" w:rsidRDefault="00800D56" w:rsidP="00800D56">
      <w:pPr>
        <w:spacing w:line="480" w:lineRule="exact"/>
        <w:ind w:leftChars="1" w:left="496" w:hangingChars="176" w:hanging="493"/>
        <w:jc w:val="both"/>
        <w:rPr>
          <w:rFonts w:ascii="標楷體" w:eastAsia="標楷體" w:hAnsi="標楷體"/>
          <w:sz w:val="28"/>
          <w:szCs w:val="28"/>
        </w:rPr>
      </w:pPr>
      <w:r w:rsidRPr="00800D56">
        <w:rPr>
          <w:rFonts w:ascii="標楷體" w:eastAsia="標楷體" w:hAnsi="標楷體" w:hint="eastAsia"/>
          <w:sz w:val="28"/>
          <w:szCs w:val="28"/>
          <w:shd w:val="clear" w:color="auto" w:fill="FFFFFF"/>
        </w:rPr>
        <w:t>七、</w:t>
      </w:r>
      <w:r w:rsidRPr="00382D6B">
        <w:rPr>
          <w:rFonts w:ascii="標楷體" w:eastAsia="標楷體" w:hAnsi="標楷體" w:hint="eastAsia"/>
          <w:color w:val="FF0000"/>
          <w:sz w:val="28"/>
          <w:szCs w:val="28"/>
        </w:rPr>
        <w:t>補助經費運用成效不佳、未依用途支用或虛報、浮報者，經本所查核屬實，除應繳回該部分之經費外，本所得依情節輕重對該補助案件停止補助一年至二年。</w:t>
      </w:r>
    </w:p>
    <w:p w:rsidR="00800D56" w:rsidRPr="00800D56" w:rsidRDefault="00800D56" w:rsidP="00800D56">
      <w:pPr>
        <w:spacing w:line="480" w:lineRule="exact"/>
        <w:ind w:leftChars="1" w:left="496" w:hangingChars="176" w:hanging="493"/>
        <w:jc w:val="both"/>
        <w:rPr>
          <w:rFonts w:ascii="標楷體" w:eastAsia="標楷體" w:hAnsi="標楷體"/>
          <w:sz w:val="28"/>
          <w:szCs w:val="28"/>
        </w:rPr>
      </w:pPr>
      <w:r w:rsidRPr="00800D56">
        <w:rPr>
          <w:rFonts w:ascii="標楷體" w:eastAsia="標楷體" w:hAnsi="標楷體" w:hint="eastAsia"/>
          <w:sz w:val="28"/>
          <w:szCs w:val="28"/>
        </w:rPr>
        <w:t>八、本要點若有未盡事宜得隨時修訂之。</w:t>
      </w:r>
    </w:p>
    <w:p w:rsidR="00800D56" w:rsidRPr="00800D56" w:rsidRDefault="00800D56" w:rsidP="00800D56">
      <w:pPr>
        <w:spacing w:line="480" w:lineRule="exact"/>
        <w:ind w:leftChars="1" w:left="496" w:hangingChars="176" w:hanging="493"/>
        <w:jc w:val="both"/>
        <w:rPr>
          <w:rFonts w:ascii="標楷體" w:eastAsia="標楷體" w:hAnsi="標楷體"/>
          <w:sz w:val="28"/>
          <w:szCs w:val="28"/>
        </w:rPr>
      </w:pPr>
      <w:r w:rsidRPr="00800D56">
        <w:rPr>
          <w:rFonts w:ascii="標楷體" w:eastAsia="標楷體" w:hAnsi="標楷體" w:hint="eastAsia"/>
          <w:sz w:val="28"/>
          <w:szCs w:val="28"/>
        </w:rPr>
        <w:t>九、本要點自發布日起生效。</w:t>
      </w:r>
      <w:bookmarkStart w:id="0" w:name="_GoBack"/>
      <w:bookmarkEnd w:id="0"/>
    </w:p>
    <w:p w:rsidR="00800D56" w:rsidRDefault="00800D56" w:rsidP="00A034E8">
      <w:pPr>
        <w:rPr>
          <w:rFonts w:ascii="標楷體" w:eastAsia="標楷體" w:hAnsi="標楷體"/>
          <w:sz w:val="32"/>
          <w:szCs w:val="32"/>
        </w:rPr>
      </w:pPr>
    </w:p>
    <w:p w:rsidR="00800D56" w:rsidRDefault="00800D56" w:rsidP="00A034E8">
      <w:pPr>
        <w:rPr>
          <w:rFonts w:ascii="標楷體" w:eastAsia="標楷體" w:hAnsi="標楷體"/>
          <w:sz w:val="32"/>
          <w:szCs w:val="32"/>
        </w:rPr>
      </w:pPr>
    </w:p>
    <w:p w:rsidR="00800D56" w:rsidRDefault="00800D56" w:rsidP="00A034E8">
      <w:pPr>
        <w:rPr>
          <w:rFonts w:ascii="標楷體" w:eastAsia="標楷體" w:hAnsi="標楷體"/>
          <w:sz w:val="32"/>
          <w:szCs w:val="32"/>
        </w:rPr>
      </w:pPr>
    </w:p>
    <w:p w:rsidR="00800D56" w:rsidRDefault="00800D56" w:rsidP="00A034E8">
      <w:pPr>
        <w:rPr>
          <w:rFonts w:ascii="標楷體" w:eastAsia="標楷體" w:hAnsi="標楷體"/>
          <w:sz w:val="32"/>
          <w:szCs w:val="32"/>
        </w:rPr>
      </w:pPr>
    </w:p>
    <w:p w:rsidR="00800D56" w:rsidRPr="00134EE2" w:rsidRDefault="00800D56" w:rsidP="00A034E8">
      <w:pPr>
        <w:rPr>
          <w:rFonts w:ascii="標楷體" w:eastAsia="標楷體" w:hAnsi="標楷體"/>
          <w:sz w:val="32"/>
          <w:szCs w:val="32"/>
        </w:rPr>
      </w:pPr>
    </w:p>
    <w:sectPr w:rsidR="00800D56" w:rsidRPr="00134EE2" w:rsidSect="00134EE2">
      <w:pgSz w:w="11907" w:h="16840" w:code="9"/>
      <w:pgMar w:top="426" w:right="747" w:bottom="284"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C5" w:rsidRDefault="00030EC5" w:rsidP="005A5C89">
      <w:r>
        <w:separator/>
      </w:r>
    </w:p>
  </w:endnote>
  <w:endnote w:type="continuationSeparator" w:id="0">
    <w:p w:rsidR="00030EC5" w:rsidRDefault="00030EC5" w:rsidP="005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C5" w:rsidRDefault="00030EC5" w:rsidP="005A5C89">
      <w:r>
        <w:separator/>
      </w:r>
    </w:p>
  </w:footnote>
  <w:footnote w:type="continuationSeparator" w:id="0">
    <w:p w:rsidR="00030EC5" w:rsidRDefault="00030EC5" w:rsidP="005A5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BBC"/>
    <w:multiLevelType w:val="hybridMultilevel"/>
    <w:tmpl w:val="B9DCB4C8"/>
    <w:lvl w:ilvl="0" w:tplc="260021EC">
      <w:start w:val="1"/>
      <w:numFmt w:val="taiwaneseCountingThousand"/>
      <w:lvlText w:val="(%1)"/>
      <w:lvlJc w:val="left"/>
      <w:pPr>
        <w:tabs>
          <w:tab w:val="num" w:pos="1770"/>
        </w:tabs>
        <w:ind w:left="1770" w:hanging="81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7B3ACD"/>
    <w:multiLevelType w:val="hybridMultilevel"/>
    <w:tmpl w:val="166687A4"/>
    <w:lvl w:ilvl="0" w:tplc="2DAA6160">
      <w:start w:val="1"/>
      <w:numFmt w:val="bullet"/>
      <w:lvlText w:val="＊"/>
      <w:lvlJc w:val="left"/>
      <w:pPr>
        <w:tabs>
          <w:tab w:val="num" w:pos="720"/>
        </w:tabs>
        <w:ind w:left="720" w:hanging="72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64B40B9"/>
    <w:multiLevelType w:val="hybridMultilevel"/>
    <w:tmpl w:val="4CF2504A"/>
    <w:lvl w:ilvl="0" w:tplc="73CE08CC">
      <w:start w:val="1"/>
      <w:numFmt w:val="taiwaneseCountingThousand"/>
      <w:lvlText w:val="%1、"/>
      <w:lvlJc w:val="left"/>
      <w:pPr>
        <w:tabs>
          <w:tab w:val="num" w:pos="810"/>
        </w:tabs>
        <w:ind w:left="810" w:hanging="810"/>
      </w:pPr>
      <w:rPr>
        <w:rFonts w:cs="Times New Roman" w:hint="eastAsia"/>
      </w:rPr>
    </w:lvl>
    <w:lvl w:ilvl="1" w:tplc="A7D2916A">
      <w:start w:val="10"/>
      <w:numFmt w:val="bullet"/>
      <w:suff w:val="space"/>
      <w:lvlText w:val="☆"/>
      <w:lvlJc w:val="left"/>
      <w:pPr>
        <w:ind w:left="765" w:hanging="285"/>
      </w:pPr>
      <w:rPr>
        <w:rFonts w:ascii="Times New Roman" w:eastAsia="標楷體" w:hAnsi="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8405277"/>
    <w:multiLevelType w:val="hybridMultilevel"/>
    <w:tmpl w:val="B8703CBC"/>
    <w:lvl w:ilvl="0" w:tplc="490E0DBC">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675B82"/>
    <w:multiLevelType w:val="hybridMultilevel"/>
    <w:tmpl w:val="B51459C4"/>
    <w:lvl w:ilvl="0" w:tplc="8C94745E">
      <w:start w:val="10"/>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21A6E6E"/>
    <w:multiLevelType w:val="hybridMultilevel"/>
    <w:tmpl w:val="78805F0E"/>
    <w:lvl w:ilvl="0" w:tplc="BFBE6F34">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2210D27"/>
    <w:multiLevelType w:val="hybridMultilevel"/>
    <w:tmpl w:val="97840786"/>
    <w:lvl w:ilvl="0" w:tplc="490E0DBC">
      <w:start w:val="1"/>
      <w:numFmt w:val="taiwaneseCountingThousand"/>
      <w:lvlText w:val="（%1）"/>
      <w:lvlJc w:val="left"/>
      <w:pPr>
        <w:tabs>
          <w:tab w:val="num" w:pos="1560"/>
        </w:tabs>
        <w:ind w:left="156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8B751D"/>
    <w:multiLevelType w:val="hybridMultilevel"/>
    <w:tmpl w:val="E76CB15E"/>
    <w:lvl w:ilvl="0" w:tplc="9DA2D05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0F12B8"/>
    <w:multiLevelType w:val="hybridMultilevel"/>
    <w:tmpl w:val="0FE040D4"/>
    <w:lvl w:ilvl="0" w:tplc="945CF2BC">
      <w:start w:val="1"/>
      <w:numFmt w:val="ideographLegalTraditional"/>
      <w:lvlText w:val="%1、"/>
      <w:lvlJc w:val="left"/>
      <w:pPr>
        <w:tabs>
          <w:tab w:val="num" w:pos="720"/>
        </w:tabs>
        <w:ind w:left="720" w:hanging="720"/>
      </w:pPr>
      <w:rPr>
        <w:rFonts w:ascii="標楷體" w:eastAsia="標楷體" w:hAnsi="標楷體" w:cs="Times New Roman"/>
        <w:lang w:val="en-US"/>
      </w:rPr>
    </w:lvl>
    <w:lvl w:ilvl="1" w:tplc="490E0DBC">
      <w:start w:val="1"/>
      <w:numFmt w:val="taiwaneseCountingThousand"/>
      <w:lvlText w:val="（%2）"/>
      <w:lvlJc w:val="left"/>
      <w:pPr>
        <w:tabs>
          <w:tab w:val="num" w:pos="1560"/>
        </w:tabs>
        <w:ind w:left="1560" w:hanging="1080"/>
      </w:pPr>
      <w:rPr>
        <w:rFonts w:hint="default"/>
      </w:rPr>
    </w:lvl>
    <w:lvl w:ilvl="2" w:tplc="5E2E77A6">
      <w:start w:val="6"/>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8450CFA"/>
    <w:multiLevelType w:val="hybridMultilevel"/>
    <w:tmpl w:val="22B4C0E4"/>
    <w:lvl w:ilvl="0" w:tplc="71F408A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3C282B"/>
    <w:multiLevelType w:val="hybridMultilevel"/>
    <w:tmpl w:val="6A28E51A"/>
    <w:lvl w:ilvl="0" w:tplc="EB7A5294">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7"/>
  </w:num>
  <w:num w:numId="4">
    <w:abstractNumId w:val="5"/>
  </w:num>
  <w:num w:numId="5">
    <w:abstractNumId w:val="10"/>
  </w:num>
  <w:num w:numId="6">
    <w:abstractNumId w:val="3"/>
  </w:num>
  <w:num w:numId="7">
    <w:abstractNumId w:val="6"/>
  </w:num>
  <w:num w:numId="8">
    <w:abstractNumId w:val="9"/>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E3"/>
    <w:rsid w:val="00030EC5"/>
    <w:rsid w:val="00063A17"/>
    <w:rsid w:val="00082E58"/>
    <w:rsid w:val="000D3CAF"/>
    <w:rsid w:val="00134EE2"/>
    <w:rsid w:val="001373B1"/>
    <w:rsid w:val="00163510"/>
    <w:rsid w:val="001A30B7"/>
    <w:rsid w:val="001B45B1"/>
    <w:rsid w:val="001C1591"/>
    <w:rsid w:val="001C2D5A"/>
    <w:rsid w:val="001C3B16"/>
    <w:rsid w:val="002777AA"/>
    <w:rsid w:val="002B3D86"/>
    <w:rsid w:val="0031523D"/>
    <w:rsid w:val="00343F97"/>
    <w:rsid w:val="00382D6B"/>
    <w:rsid w:val="003B3C3A"/>
    <w:rsid w:val="003B723D"/>
    <w:rsid w:val="004175D9"/>
    <w:rsid w:val="004559D0"/>
    <w:rsid w:val="004B0B56"/>
    <w:rsid w:val="004C2A2C"/>
    <w:rsid w:val="004E1CE3"/>
    <w:rsid w:val="00582B8C"/>
    <w:rsid w:val="00594E50"/>
    <w:rsid w:val="005A4946"/>
    <w:rsid w:val="005A5C89"/>
    <w:rsid w:val="005B73BD"/>
    <w:rsid w:val="005D6F26"/>
    <w:rsid w:val="005E6184"/>
    <w:rsid w:val="00601068"/>
    <w:rsid w:val="00601408"/>
    <w:rsid w:val="00626DA3"/>
    <w:rsid w:val="00645476"/>
    <w:rsid w:val="0068590B"/>
    <w:rsid w:val="006B4F74"/>
    <w:rsid w:val="006F7EA3"/>
    <w:rsid w:val="00702672"/>
    <w:rsid w:val="00725F6E"/>
    <w:rsid w:val="00784C87"/>
    <w:rsid w:val="00790C30"/>
    <w:rsid w:val="007974B9"/>
    <w:rsid w:val="00800D56"/>
    <w:rsid w:val="00813EB5"/>
    <w:rsid w:val="00825DA6"/>
    <w:rsid w:val="00842A0C"/>
    <w:rsid w:val="00856F1B"/>
    <w:rsid w:val="00892E96"/>
    <w:rsid w:val="008A5D6E"/>
    <w:rsid w:val="008B4BE2"/>
    <w:rsid w:val="00951EC4"/>
    <w:rsid w:val="009675C1"/>
    <w:rsid w:val="009E3227"/>
    <w:rsid w:val="00A034E8"/>
    <w:rsid w:val="00A1127A"/>
    <w:rsid w:val="00A22E68"/>
    <w:rsid w:val="00A75524"/>
    <w:rsid w:val="00A9773F"/>
    <w:rsid w:val="00AB77E8"/>
    <w:rsid w:val="00AF3969"/>
    <w:rsid w:val="00B43643"/>
    <w:rsid w:val="00B7352D"/>
    <w:rsid w:val="00B85EBA"/>
    <w:rsid w:val="00BB0A47"/>
    <w:rsid w:val="00BB6B4C"/>
    <w:rsid w:val="00BD2601"/>
    <w:rsid w:val="00C049BB"/>
    <w:rsid w:val="00C13DB8"/>
    <w:rsid w:val="00C23CFE"/>
    <w:rsid w:val="00C33656"/>
    <w:rsid w:val="00C36937"/>
    <w:rsid w:val="00C408DD"/>
    <w:rsid w:val="00C470CD"/>
    <w:rsid w:val="00C663BD"/>
    <w:rsid w:val="00C66C38"/>
    <w:rsid w:val="00CC4694"/>
    <w:rsid w:val="00CC62D3"/>
    <w:rsid w:val="00D26B4C"/>
    <w:rsid w:val="00D32C59"/>
    <w:rsid w:val="00D8302D"/>
    <w:rsid w:val="00D924A0"/>
    <w:rsid w:val="00D92547"/>
    <w:rsid w:val="00DA1AC9"/>
    <w:rsid w:val="00DB0F12"/>
    <w:rsid w:val="00E51416"/>
    <w:rsid w:val="00E53779"/>
    <w:rsid w:val="00E73DD0"/>
    <w:rsid w:val="00E912E5"/>
    <w:rsid w:val="00ED523C"/>
    <w:rsid w:val="00EF7236"/>
    <w:rsid w:val="00F004FF"/>
    <w:rsid w:val="00F16169"/>
    <w:rsid w:val="00F37A6F"/>
    <w:rsid w:val="00F50D0C"/>
    <w:rsid w:val="00F56934"/>
    <w:rsid w:val="00F65354"/>
    <w:rsid w:val="00F91A7C"/>
    <w:rsid w:val="00F92E5C"/>
    <w:rsid w:val="00FE02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0AC4BD-3EC4-467D-88BB-782EA403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89"/>
    <w:pPr>
      <w:tabs>
        <w:tab w:val="center" w:pos="4153"/>
        <w:tab w:val="right" w:pos="8306"/>
      </w:tabs>
      <w:snapToGrid w:val="0"/>
    </w:pPr>
    <w:rPr>
      <w:sz w:val="20"/>
      <w:szCs w:val="20"/>
    </w:rPr>
  </w:style>
  <w:style w:type="character" w:customStyle="1" w:styleId="a4">
    <w:name w:val="頁首 字元"/>
    <w:link w:val="a3"/>
    <w:rsid w:val="005A5C89"/>
    <w:rPr>
      <w:color w:val="000000"/>
    </w:rPr>
  </w:style>
  <w:style w:type="paragraph" w:styleId="a5">
    <w:name w:val="footer"/>
    <w:basedOn w:val="a"/>
    <w:link w:val="a6"/>
    <w:uiPriority w:val="99"/>
    <w:rsid w:val="005A5C89"/>
    <w:pPr>
      <w:tabs>
        <w:tab w:val="center" w:pos="4153"/>
        <w:tab w:val="right" w:pos="8306"/>
      </w:tabs>
      <w:snapToGrid w:val="0"/>
    </w:pPr>
    <w:rPr>
      <w:sz w:val="20"/>
      <w:szCs w:val="20"/>
    </w:rPr>
  </w:style>
  <w:style w:type="character" w:customStyle="1" w:styleId="a6">
    <w:name w:val="頁尾 字元"/>
    <w:link w:val="a5"/>
    <w:uiPriority w:val="99"/>
    <w:rsid w:val="005A5C89"/>
    <w:rPr>
      <w:color w:val="000000"/>
    </w:rPr>
  </w:style>
  <w:style w:type="paragraph" w:styleId="a7">
    <w:name w:val="List Paragraph"/>
    <w:basedOn w:val="a"/>
    <w:uiPriority w:val="99"/>
    <w:qFormat/>
    <w:rsid w:val="00FE02DF"/>
    <w:pPr>
      <w:ind w:leftChars="200" w:left="480"/>
    </w:pPr>
    <w:rPr>
      <w:color w:val="auto"/>
      <w:kern w:val="2"/>
      <w:sz w:val="24"/>
      <w:szCs w:val="24"/>
    </w:rPr>
  </w:style>
  <w:style w:type="paragraph" w:styleId="HTML">
    <w:name w:val="HTML Preformatted"/>
    <w:basedOn w:val="a"/>
    <w:link w:val="HTML0"/>
    <w:uiPriority w:val="99"/>
    <w:rsid w:val="00DB0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olor w:val="auto"/>
      <w:sz w:val="24"/>
      <w:szCs w:val="24"/>
    </w:rPr>
  </w:style>
  <w:style w:type="character" w:customStyle="1" w:styleId="HTML0">
    <w:name w:val="HTML 預設格式 字元"/>
    <w:link w:val="HTML"/>
    <w:uiPriority w:val="99"/>
    <w:rsid w:val="00DB0F12"/>
    <w:rPr>
      <w:rFonts w:ascii="細明體" w:eastAsia="細明體" w:hAnsi="細明體" w:cs="細明體"/>
      <w:sz w:val="24"/>
      <w:szCs w:val="24"/>
    </w:rPr>
  </w:style>
  <w:style w:type="paragraph" w:styleId="a8">
    <w:name w:val="Body Text Indent"/>
    <w:basedOn w:val="a"/>
    <w:link w:val="a9"/>
    <w:uiPriority w:val="99"/>
    <w:rsid w:val="00582B8C"/>
    <w:pPr>
      <w:spacing w:line="520" w:lineRule="exact"/>
      <w:ind w:left="1600" w:hangingChars="500" w:hanging="1600"/>
      <w:jc w:val="both"/>
    </w:pPr>
    <w:rPr>
      <w:rFonts w:eastAsia="標楷體"/>
      <w:color w:val="auto"/>
      <w:kern w:val="2"/>
      <w:sz w:val="32"/>
      <w:szCs w:val="24"/>
    </w:rPr>
  </w:style>
  <w:style w:type="character" w:customStyle="1" w:styleId="a9">
    <w:name w:val="本文縮排 字元"/>
    <w:link w:val="a8"/>
    <w:uiPriority w:val="99"/>
    <w:rsid w:val="00582B8C"/>
    <w:rPr>
      <w:rFonts w:eastAsia="標楷體"/>
      <w:kern w:val="2"/>
      <w:sz w:val="32"/>
      <w:szCs w:val="24"/>
    </w:rPr>
  </w:style>
  <w:style w:type="paragraph" w:styleId="aa">
    <w:name w:val="Date"/>
    <w:basedOn w:val="a"/>
    <w:next w:val="a"/>
    <w:link w:val="ab"/>
    <w:uiPriority w:val="99"/>
    <w:rsid w:val="00A034E8"/>
    <w:pPr>
      <w:jc w:val="right"/>
    </w:pPr>
    <w:rPr>
      <w:rFonts w:eastAsia="標楷體"/>
      <w:color w:val="auto"/>
      <w:kern w:val="2"/>
      <w:sz w:val="32"/>
      <w:szCs w:val="24"/>
    </w:rPr>
  </w:style>
  <w:style w:type="character" w:customStyle="1" w:styleId="ab">
    <w:name w:val="日期 字元"/>
    <w:link w:val="aa"/>
    <w:uiPriority w:val="99"/>
    <w:rsid w:val="00A034E8"/>
    <w:rPr>
      <w:rFonts w:eastAsia="標楷體"/>
      <w:kern w:val="2"/>
      <w:sz w:val="32"/>
      <w:szCs w:val="24"/>
    </w:rPr>
  </w:style>
  <w:style w:type="character" w:styleId="ac">
    <w:name w:val="Hyperlink"/>
    <w:uiPriority w:val="99"/>
    <w:rsid w:val="00A034E8"/>
    <w:rPr>
      <w:rFonts w:cs="Times New Roman"/>
      <w:color w:val="0000FF"/>
      <w:u w:val="single"/>
    </w:rPr>
  </w:style>
  <w:style w:type="character" w:styleId="ad">
    <w:name w:val="page number"/>
    <w:uiPriority w:val="99"/>
    <w:rsid w:val="00A034E8"/>
    <w:rPr>
      <w:rFonts w:cs="Times New Roman"/>
    </w:rPr>
  </w:style>
  <w:style w:type="paragraph" w:styleId="ae">
    <w:name w:val="Balloon Text"/>
    <w:basedOn w:val="a"/>
    <w:link w:val="af"/>
    <w:semiHidden/>
    <w:unhideWhenUsed/>
    <w:rsid w:val="00382D6B"/>
    <w:rPr>
      <w:rFonts w:asciiTheme="majorHAnsi" w:eastAsiaTheme="majorEastAsia" w:hAnsiTheme="majorHAnsi" w:cstheme="majorBidi"/>
      <w:sz w:val="18"/>
      <w:szCs w:val="18"/>
    </w:rPr>
  </w:style>
  <w:style w:type="character" w:customStyle="1" w:styleId="af">
    <w:name w:val="註解方塊文字 字元"/>
    <w:basedOn w:val="a0"/>
    <w:link w:val="ae"/>
    <w:semiHidden/>
    <w:rsid w:val="00382D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486</Characters>
  <Application>Microsoft Office Word</Application>
  <DocSecurity>0</DocSecurity>
  <Lines>4</Lines>
  <Paragraphs>1</Paragraphs>
  <ScaleCrop>false</ScaleCrop>
  <Company>CMT</Company>
  <LinksUpToDate>false</LinksUpToDate>
  <CharactersWithSpaces>570</CharactersWithSpaces>
  <SharedDoc>false</SharedDoc>
  <HLinks>
    <vt:vector size="6" baseType="variant">
      <vt:variant>
        <vt:i4>8060977</vt:i4>
      </vt:variant>
      <vt:variant>
        <vt:i4>0</vt:i4>
      </vt:variant>
      <vt:variant>
        <vt:i4>0</vt:i4>
      </vt:variant>
      <vt:variant>
        <vt:i4>5</vt:i4>
      </vt:variant>
      <vt:variant>
        <vt:lpwstr>http://www.tauyuan.gov.tw/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高雄市桃源區100年度住戶電費補助辦法</dc:title>
  <dc:subject/>
  <dc:creator>USER</dc:creator>
  <cp:keywords/>
  <dc:description/>
  <cp:lastModifiedBy>user</cp:lastModifiedBy>
  <cp:revision>2</cp:revision>
  <cp:lastPrinted>2017-11-20T04:00:00Z</cp:lastPrinted>
  <dcterms:created xsi:type="dcterms:W3CDTF">2017-11-20T04:02:00Z</dcterms:created>
  <dcterms:modified xsi:type="dcterms:W3CDTF">2017-11-20T04:02:00Z</dcterms:modified>
</cp:coreProperties>
</file>