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463"/>
      </w:tblGrid>
      <w:tr w:rsidR="00581493" w:rsidRPr="00581493" w14:paraId="1D6876BC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48526E90" w14:textId="6AEAAFD1" w:rsidR="00FD136B" w:rsidRPr="00581493" w:rsidRDefault="008F5989" w:rsidP="00332959">
            <w:pPr>
              <w:pStyle w:val="10"/>
              <w:spacing w:line="440" w:lineRule="exact"/>
              <w:jc w:val="center"/>
              <w:rPr>
                <w:rFonts w:ascii="標楷體" w:eastAsia="標楷體" w:hAnsi="標楷體" w:cs="Courier New"/>
                <w:b/>
                <w:kern w:val="2"/>
                <w:sz w:val="32"/>
                <w:szCs w:val="32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b/>
                <w:kern w:val="2"/>
                <w:sz w:val="32"/>
                <w:szCs w:val="32"/>
                <w:lang w:val="en-US" w:eastAsia="zh-TW"/>
              </w:rPr>
              <w:t>高雄市</w:t>
            </w:r>
            <w:r w:rsidR="00710E7A" w:rsidRPr="00581493">
              <w:rPr>
                <w:rFonts w:ascii="標楷體" w:eastAsia="標楷體" w:hAnsi="標楷體" w:cs="Courier New" w:hint="eastAsia"/>
                <w:b/>
                <w:kern w:val="2"/>
                <w:sz w:val="32"/>
                <w:szCs w:val="32"/>
                <w:lang w:val="en-US" w:eastAsia="zh-TW"/>
              </w:rPr>
              <w:t>桃源</w:t>
            </w:r>
            <w:r w:rsidRPr="00581493">
              <w:rPr>
                <w:rFonts w:ascii="標楷體" w:eastAsia="標楷體" w:hAnsi="標楷體" w:cs="標楷體" w:hint="eastAsia"/>
                <w:b/>
                <w:kern w:val="2"/>
                <w:sz w:val="32"/>
                <w:szCs w:val="32"/>
                <w:lang w:val="en-US" w:eastAsia="zh-TW"/>
              </w:rPr>
              <w:t>區公所招標統計表</w:t>
            </w:r>
            <w:r w:rsidR="00FD136B" w:rsidRPr="00581493">
              <w:rPr>
                <w:rFonts w:ascii="標楷體" w:eastAsia="標楷體" w:hAnsi="標楷體" w:cs="Courier New" w:hint="eastAsia"/>
                <w:b/>
                <w:kern w:val="2"/>
                <w:sz w:val="32"/>
                <w:szCs w:val="32"/>
                <w:lang w:val="en-US" w:eastAsia="zh-TW"/>
              </w:rPr>
              <w:t>編製說明</w:t>
            </w:r>
          </w:p>
        </w:tc>
      </w:tr>
      <w:tr w:rsidR="00581493" w:rsidRPr="00581493" w14:paraId="4F0B8F61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4B9FDDC4" w14:textId="77777777" w:rsidR="0022583D" w:rsidRPr="00581493" w:rsidRDefault="00776D7D" w:rsidP="00F940C9">
            <w:pPr>
              <w:pStyle w:val="10"/>
              <w:spacing w:line="440" w:lineRule="exact"/>
              <w:ind w:left="480"/>
              <w:jc w:val="right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  <w:t>30280-05-01-3</w:t>
            </w:r>
          </w:p>
        </w:tc>
      </w:tr>
      <w:tr w:rsidR="00581493" w:rsidRPr="00581493" w14:paraId="4F0A670C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09885AA7" w14:textId="77777777" w:rsidR="00FD136B" w:rsidRPr="00581493" w:rsidRDefault="00FD136B" w:rsidP="001B1AAA">
            <w:pPr>
              <w:pStyle w:val="10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統計範圍及對象：</w:t>
            </w:r>
            <w:r w:rsidR="001B1AA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以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本所各課室辦理發包</w:t>
            </w:r>
            <w:r w:rsidR="001B1AA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並決標之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標案</w:t>
            </w:r>
            <w:r w:rsidR="001B1AA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件數及決標金額</w:t>
            </w:r>
            <w:r w:rsidR="00D3700F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為</w:t>
            </w:r>
            <w:r w:rsidR="001B1AA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統計範圍及</w:t>
            </w:r>
            <w:r w:rsidR="00D3700F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對象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581493" w:rsidRPr="00581493" w14:paraId="34C1A65C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5D2021E8" w14:textId="14C497D5" w:rsidR="00FD136B" w:rsidRPr="00581493" w:rsidRDefault="00FD136B" w:rsidP="00D3700F">
            <w:pPr>
              <w:pStyle w:val="10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統計標準時間：以每</w:t>
            </w:r>
            <w:r w:rsidR="00D3700F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年1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月1日至</w:t>
            </w:r>
            <w:r w:rsidR="00D3700F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12月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底之</w:t>
            </w:r>
            <w:r w:rsidR="002C33E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決標</w:t>
            </w:r>
            <w:r w:rsidR="00B538F5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日期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事實為</w:t>
            </w:r>
            <w:proofErr w:type="gramStart"/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準</w:t>
            </w:r>
            <w:proofErr w:type="gramEnd"/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581493" w:rsidRPr="00581493" w14:paraId="25C046D1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0417F28A" w14:textId="77777777" w:rsidR="00FD136B" w:rsidRPr="00581493" w:rsidRDefault="00FD136B" w:rsidP="001B3C5D">
            <w:pPr>
              <w:pStyle w:val="10"/>
              <w:numPr>
                <w:ilvl w:val="0"/>
                <w:numId w:val="1"/>
              </w:numPr>
              <w:spacing w:line="440" w:lineRule="exact"/>
              <w:ind w:left="2160" w:hanging="2160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分類標準：</w:t>
            </w:r>
          </w:p>
        </w:tc>
      </w:tr>
      <w:tr w:rsidR="00581493" w:rsidRPr="00581493" w14:paraId="1C8088AC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5C69799F" w14:textId="77777777" w:rsidR="00FD136B" w:rsidRPr="00581493" w:rsidRDefault="00FD136B" w:rsidP="00D3700F">
            <w:pPr>
              <w:pStyle w:val="10"/>
              <w:numPr>
                <w:ilvl w:val="0"/>
                <w:numId w:val="2"/>
              </w:numPr>
              <w:spacing w:line="440" w:lineRule="exact"/>
              <w:ind w:left="2387" w:hanging="192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緃項目：按</w:t>
            </w:r>
            <w:r w:rsidR="004023B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公開招標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、</w:t>
            </w:r>
            <w:r w:rsidR="004023B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公開取得報價單或企劃書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、</w:t>
            </w:r>
            <w:r w:rsidR="004023B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限制性招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標</w:t>
            </w:r>
            <w:r w:rsidR="004023B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分；再按件數及</w:t>
            </w:r>
            <w:r w:rsidR="00CE6CE5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決標</w:t>
            </w:r>
            <w:r w:rsidR="004023B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金額統計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  <w:p w14:paraId="556B9D5B" w14:textId="696F7B1D" w:rsidR="00781D28" w:rsidRPr="00581493" w:rsidRDefault="00781D28" w:rsidP="00D3700F">
            <w:pPr>
              <w:pStyle w:val="10"/>
              <w:numPr>
                <w:ilvl w:val="0"/>
                <w:numId w:val="2"/>
              </w:numPr>
              <w:spacing w:line="440" w:lineRule="exact"/>
              <w:ind w:left="2387" w:hanging="192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橫項目：按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採購類別分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工程類、財物類及勞務類；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另按</w:t>
            </w:r>
            <w:r w:rsidR="0012454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採購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金額</w:t>
            </w:r>
            <w:r w:rsidR="00B36200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級距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分未達公告金額及公告金額以上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  <w:r w:rsidR="00D304A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上述</w:t>
            </w:r>
            <w:proofErr w:type="gramStart"/>
            <w:r w:rsidR="00D304A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二類件</w:t>
            </w:r>
            <w:proofErr w:type="gramEnd"/>
            <w:r w:rsidR="00D304A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數及決標金額總計須一致。</w:t>
            </w:r>
          </w:p>
        </w:tc>
      </w:tr>
      <w:tr w:rsidR="00581493" w:rsidRPr="00581493" w14:paraId="6E5FCA69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0A07F572" w14:textId="77777777" w:rsidR="00FD136B" w:rsidRPr="00581493" w:rsidRDefault="00FD136B" w:rsidP="001F0D27">
            <w:pPr>
              <w:pStyle w:val="10"/>
              <w:spacing w:line="440" w:lineRule="exact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四、統計項目定義：</w:t>
            </w:r>
          </w:p>
        </w:tc>
      </w:tr>
      <w:tr w:rsidR="00581493" w:rsidRPr="00581493" w14:paraId="50204A33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6BE52098" w14:textId="77777777" w:rsidR="00FD136B" w:rsidRPr="00581493" w:rsidRDefault="00FD136B" w:rsidP="00594A50">
            <w:pPr>
              <w:pStyle w:val="10"/>
              <w:numPr>
                <w:ilvl w:val="0"/>
                <w:numId w:val="3"/>
              </w:numPr>
              <w:spacing w:line="440" w:lineRule="exact"/>
              <w:ind w:left="1310" w:hanging="851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</w:t>
            </w:r>
            <w:r w:rsidR="004023B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公開招標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」係</w:t>
            </w:r>
            <w:r w:rsidR="004023B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指</w:t>
            </w:r>
            <w:r w:rsidR="00E763B6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以公告方式邀請不特定廠商投標，且依政府採購法</w:t>
            </w:r>
            <w:r w:rsidR="0094003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相關</w:t>
            </w:r>
            <w:r w:rsidR="00E763B6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規定辦理招標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581493" w:rsidRPr="00581493" w14:paraId="71F20B2E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01CB5E6C" w14:textId="6D34D8A1" w:rsidR="00FD136B" w:rsidRPr="00581493" w:rsidRDefault="004023B7" w:rsidP="008F364C">
            <w:pPr>
              <w:pStyle w:val="10"/>
              <w:numPr>
                <w:ilvl w:val="0"/>
                <w:numId w:val="3"/>
              </w:numPr>
              <w:spacing w:line="440" w:lineRule="exact"/>
              <w:ind w:left="1310" w:hanging="851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「公開取得報價單或企劃書」</w:t>
            </w:r>
            <w:r w:rsidR="00E763B6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依政府採購法規定未達公告金額之採購應取得報價或企劃書之情形，</w:t>
            </w:r>
            <w:r w:rsidR="00EC39FC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逾</w:t>
            </w:r>
            <w:r w:rsidR="00E763B6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公告金額十分之一者，除政府採購法第</w:t>
            </w:r>
            <w:r w:rsidR="0057562B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22</w:t>
            </w:r>
            <w:r w:rsidR="00E763B6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條第</w:t>
            </w:r>
            <w:r w:rsidR="0057562B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1</w:t>
            </w:r>
            <w:r w:rsidR="00E763B6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項各款情形外，仍應公開取得三家以上廠商之書面報價或企劃書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581493" w:rsidRPr="00581493" w14:paraId="42297F2B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6DA3DB85" w14:textId="44B01EDF" w:rsidR="00FD136B" w:rsidRPr="00581493" w:rsidRDefault="004023B7" w:rsidP="001321D5">
            <w:pPr>
              <w:pStyle w:val="10"/>
              <w:numPr>
                <w:ilvl w:val="0"/>
                <w:numId w:val="3"/>
              </w:numPr>
              <w:spacing w:line="440" w:lineRule="exact"/>
              <w:ind w:left="1310" w:hanging="851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「限制性招標」</w:t>
            </w:r>
            <w:r w:rsidR="00E763B6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係指</w:t>
            </w:r>
            <w:r w:rsidR="001321D5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不經公告程序</w:t>
            </w:r>
            <w:r w:rsidR="00F16821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，</w:t>
            </w:r>
            <w:r w:rsidR="00836286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邀請特定2家以上廠商比價或僅邀請特定1家廠商議價，</w:t>
            </w:r>
            <w:r w:rsidR="0094003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且依政府採購法</w:t>
            </w:r>
            <w:r w:rsidR="00B538F5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第22條第1項</w:t>
            </w:r>
            <w:r w:rsidR="0094003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相關規定辦理</w:t>
            </w:r>
            <w:r w:rsidR="00B538F5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之</w:t>
            </w:r>
            <w:r w:rsidR="0094003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招標</w:t>
            </w:r>
            <w:r w:rsidR="00F16821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，</w:t>
            </w:r>
            <w:r w:rsidR="00B538F5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其中</w:t>
            </w:r>
            <w:r w:rsidR="00F16821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</w:t>
            </w:r>
            <w:r w:rsidR="00F16821" w:rsidRPr="00581493"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  <w:t>經公開評選或公開徵求</w:t>
            </w:r>
            <w:r w:rsidR="00F16821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之限制性招標」及「</w:t>
            </w:r>
            <w:r w:rsidR="00F16821" w:rsidRPr="00581493"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  <w:t>未經公開評選或公開徵求</w:t>
            </w:r>
            <w:r w:rsidR="00F16821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之限制性招標」</w:t>
            </w:r>
            <w:proofErr w:type="gramStart"/>
            <w:r w:rsidR="00F16821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均計入</w:t>
            </w:r>
            <w:proofErr w:type="gramEnd"/>
            <w:r w:rsidR="00F16821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此類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581493" w:rsidRPr="00581493" w14:paraId="235E44C4" w14:textId="77777777" w:rsidTr="003C0C32">
        <w:trPr>
          <w:trHeight w:val="454"/>
        </w:trPr>
        <w:tc>
          <w:tcPr>
            <w:tcW w:w="14601" w:type="dxa"/>
            <w:vAlign w:val="center"/>
          </w:tcPr>
          <w:p w14:paraId="4D006638" w14:textId="77777777" w:rsidR="004023B7" w:rsidRPr="00581493" w:rsidRDefault="004023B7" w:rsidP="00971FDD">
            <w:pPr>
              <w:pStyle w:val="10"/>
              <w:numPr>
                <w:ilvl w:val="0"/>
                <w:numId w:val="3"/>
              </w:numPr>
              <w:spacing w:line="440" w:lineRule="exact"/>
              <w:ind w:left="1310" w:hanging="851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「工程類」</w:t>
            </w:r>
            <w:proofErr w:type="gramStart"/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欄係</w:t>
            </w:r>
            <w:r w:rsidR="00971FD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依</w:t>
            </w:r>
            <w:proofErr w:type="gramEnd"/>
            <w:r w:rsidR="00971FD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政府採購法規定</w:t>
            </w:r>
            <w:r w:rsidR="0094003A" w:rsidRPr="00581493">
              <w:rPr>
                <w:rFonts w:ascii="標楷體" w:eastAsia="標楷體" w:hAnsi="標楷體" w:hint="eastAsia"/>
                <w:sz w:val="28"/>
                <w:szCs w:val="28"/>
              </w:rPr>
              <w:t>所稱工程，指在地面上下新建、增建、改建、修建、拆除構造物與其所屬設備及改變自然環境之行為，包括建築、土木、水利、環境、交通、機械、電氣、</w:t>
            </w:r>
            <w:r w:rsidR="0094003A" w:rsidRPr="0058149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化工及其他經主管機關認定之工程</w:t>
            </w:r>
            <w:r w:rsidR="0094003A" w:rsidRPr="0058149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proofErr w:type="spellStart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t>採購兼有工程、財物、勞務二種以上性質，難以認定其歸屬者，按其性質所占預算金額比</w:t>
            </w:r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率最高者歸屬之</w:t>
            </w:r>
            <w:bookmarkStart w:id="0" w:name="_GoBack"/>
            <w:bookmarkEnd w:id="0"/>
            <w:proofErr w:type="spellEnd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81493" w:rsidRPr="00581493" w14:paraId="55F31D99" w14:textId="77777777" w:rsidTr="003C0C32">
        <w:trPr>
          <w:trHeight w:val="454"/>
        </w:trPr>
        <w:tc>
          <w:tcPr>
            <w:tcW w:w="14601" w:type="dxa"/>
            <w:vAlign w:val="center"/>
          </w:tcPr>
          <w:p w14:paraId="7280E58C" w14:textId="77777777" w:rsidR="004023B7" w:rsidRPr="00581493" w:rsidRDefault="004023B7" w:rsidP="00984C54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lastRenderedPageBreak/>
              <w:t>「財</w:t>
            </w:r>
            <w:r w:rsidR="00984C54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物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類」</w:t>
            </w:r>
            <w:proofErr w:type="gramStart"/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欄</w:t>
            </w:r>
            <w:r w:rsidR="00971FD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係依</w:t>
            </w:r>
            <w:proofErr w:type="gramEnd"/>
            <w:r w:rsidR="00971FD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政府採購法規定</w:t>
            </w:r>
            <w:proofErr w:type="spellStart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t>所稱財物，指各種物品</w:t>
            </w:r>
            <w:proofErr w:type="spellEnd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t> (</w:t>
            </w:r>
            <w:proofErr w:type="spellStart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t>生鮮農漁產品除外</w:t>
            </w:r>
            <w:proofErr w:type="spellEnd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t>) 、</w:t>
            </w:r>
            <w:proofErr w:type="spellStart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t>材料、設備、機具與</w:t>
            </w:r>
            <w:proofErr w:type="spellEnd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br/>
              <w:t>其他動產、不動產、權利及其他經主管機關認定之財物。採購兼有工程、財物、勞務二種以上性質，難以認定其歸屬者，按其性質所占預算金額比率最高者歸屬之。</w:t>
            </w:r>
          </w:p>
        </w:tc>
      </w:tr>
      <w:tr w:rsidR="00581493" w:rsidRPr="00581493" w14:paraId="33EBF9F3" w14:textId="77777777" w:rsidTr="003C0C32">
        <w:trPr>
          <w:trHeight w:val="454"/>
        </w:trPr>
        <w:tc>
          <w:tcPr>
            <w:tcW w:w="14601" w:type="dxa"/>
            <w:vAlign w:val="center"/>
          </w:tcPr>
          <w:p w14:paraId="6AC36C98" w14:textId="77777777" w:rsidR="004023B7" w:rsidRPr="00581493" w:rsidRDefault="004023B7" w:rsidP="00971FDD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「勞務類」</w:t>
            </w:r>
            <w:proofErr w:type="gramStart"/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欄</w:t>
            </w:r>
            <w:r w:rsidR="00971FD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係依</w:t>
            </w:r>
            <w:proofErr w:type="gramEnd"/>
            <w:r w:rsidR="00971FD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政府採購法規定</w:t>
            </w:r>
            <w:proofErr w:type="spellStart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t>所稱勞務，指專業服務、技術服務、資訊服務、研究發展、營運管理</w:t>
            </w:r>
            <w:proofErr w:type="spellEnd"/>
            <w:r w:rsidR="00971FDD" w:rsidRPr="00581493">
              <w:rPr>
                <w:rFonts w:ascii="標楷體" w:eastAsia="標楷體" w:hAnsi="標楷體" w:hint="eastAsia"/>
                <w:sz w:val="28"/>
                <w:szCs w:val="28"/>
              </w:rPr>
              <w:br/>
              <w:t>、維修、訓練、勞力及其他經主管機關認定之勞務。採購兼有工程、財物、勞務二種以上性質，難以認定其歸屬者，按其性質所占預算金額比率最高者歸屬之。</w:t>
            </w:r>
          </w:p>
          <w:p w14:paraId="6629E047" w14:textId="77777777" w:rsidR="004517C7" w:rsidRPr="00581493" w:rsidRDefault="004517C7" w:rsidP="004517C7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決標金額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」</w:t>
            </w:r>
            <w:proofErr w:type="gramStart"/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欄係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各</w:t>
            </w:r>
            <w:proofErr w:type="gramEnd"/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採購招標案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依政府採購法規定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決標之金額。</w:t>
            </w:r>
          </w:p>
          <w:p w14:paraId="21E463C0" w14:textId="1B4CBCE9" w:rsidR="00F16821" w:rsidRPr="00581493" w:rsidRDefault="00F16821" w:rsidP="004517C7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</w:t>
            </w:r>
            <w:r w:rsidR="00B36200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採購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金額</w:t>
            </w:r>
            <w:r w:rsidR="00B36200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HK"/>
              </w:rPr>
              <w:t>級距</w:t>
            </w: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」係指</w:t>
            </w:r>
            <w:r w:rsidR="00B36200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機關辦理採購案件時，依照該案之「採購金額」落在行政院</w:t>
            </w:r>
            <w:r w:rsidR="001321D5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公共工程委員會</w:t>
            </w:r>
            <w:r w:rsidR="00B36200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訂定之採購級距而劃分其規模等級。</w:t>
            </w:r>
          </w:p>
          <w:p w14:paraId="6F8DF48F" w14:textId="525EFAB9" w:rsidR="00781D28" w:rsidRPr="00581493" w:rsidRDefault="00E96D78" w:rsidP="00042427">
            <w:pPr>
              <w:pStyle w:val="10"/>
              <w:numPr>
                <w:ilvl w:val="0"/>
                <w:numId w:val="3"/>
              </w:numPr>
              <w:spacing w:line="440" w:lineRule="exact"/>
              <w:ind w:left="2727" w:hanging="2268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「公告金額」</w:t>
            </w:r>
            <w:r w:rsidR="009E717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係指</w:t>
            </w:r>
            <w:r w:rsidR="00EC39FC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行政院公共工程委員會</w:t>
            </w:r>
            <w:r w:rsidR="009E717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訂定機關辦理採購，其屬「公告金額以上</w:t>
            </w:r>
            <w:r w:rsidR="00042427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採購」之採購金額標準</w:t>
            </w:r>
            <w:r w:rsidR="009038F1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。</w:t>
            </w:r>
          </w:p>
        </w:tc>
      </w:tr>
      <w:tr w:rsidR="00581493" w:rsidRPr="00581493" w14:paraId="0ED6FDD0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7EE0BD9C" w14:textId="77777777" w:rsidR="00FD136B" w:rsidRPr="00581493" w:rsidRDefault="00FD136B" w:rsidP="00F623F6">
            <w:pPr>
              <w:pStyle w:val="10"/>
              <w:spacing w:line="440" w:lineRule="exact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五、資料蒐集方法及編製程序：</w:t>
            </w:r>
            <w:r w:rsidR="00457445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依據行政院公共工程標案管理系統統計資料編製。</w:t>
            </w:r>
          </w:p>
        </w:tc>
      </w:tr>
      <w:tr w:rsidR="00FD136B" w:rsidRPr="00581493" w14:paraId="22D2D518" w14:textId="77777777" w:rsidTr="001B3C5D">
        <w:trPr>
          <w:trHeight w:val="454"/>
        </w:trPr>
        <w:tc>
          <w:tcPr>
            <w:tcW w:w="14601" w:type="dxa"/>
            <w:vAlign w:val="center"/>
          </w:tcPr>
          <w:p w14:paraId="68D3DD04" w14:textId="46959491" w:rsidR="00FD136B" w:rsidRPr="00581493" w:rsidRDefault="00FD136B" w:rsidP="00F623F6">
            <w:pPr>
              <w:pStyle w:val="10"/>
              <w:spacing w:line="440" w:lineRule="exact"/>
              <w:ind w:left="2019" w:hangingChars="721" w:hanging="2019"/>
              <w:jc w:val="both"/>
              <w:rPr>
                <w:rFonts w:ascii="標楷體" w:eastAsia="標楷體" w:hAnsi="標楷體" w:cs="Courier New"/>
                <w:kern w:val="2"/>
                <w:sz w:val="28"/>
                <w:szCs w:val="28"/>
                <w:lang w:val="en-US" w:eastAsia="zh-TW"/>
              </w:rPr>
            </w:pPr>
            <w:r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六、編送對象：</w:t>
            </w:r>
            <w:proofErr w:type="gramStart"/>
            <w:r w:rsidR="00776D7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本表編製</w:t>
            </w:r>
            <w:proofErr w:type="gramEnd"/>
            <w:r w:rsidR="00776D7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1式</w:t>
            </w:r>
            <w:r w:rsidR="00F623F6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2</w:t>
            </w:r>
            <w:r w:rsidR="00776D7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份，</w:t>
            </w:r>
            <w:r w:rsidR="00F80EB3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 xml:space="preserve"> </w:t>
            </w:r>
            <w:r w:rsidR="00776D7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1份送本所</w:t>
            </w:r>
            <w:r w:rsidR="00710E7A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主</w:t>
            </w:r>
            <w:r w:rsidR="00776D7D" w:rsidRPr="00581493">
              <w:rPr>
                <w:rFonts w:ascii="標楷體" w:eastAsia="標楷體" w:hAnsi="標楷體" w:cs="Courier New" w:hint="eastAsia"/>
                <w:kern w:val="2"/>
                <w:sz w:val="28"/>
                <w:szCs w:val="28"/>
                <w:lang w:val="en-US" w:eastAsia="zh-TW"/>
              </w:rPr>
              <w:t>計室，1份自存。</w:t>
            </w:r>
          </w:p>
        </w:tc>
      </w:tr>
    </w:tbl>
    <w:p w14:paraId="0D45D01D" w14:textId="77777777" w:rsidR="00FD136B" w:rsidRPr="00581493" w:rsidRDefault="00FD136B" w:rsidP="00FD136B">
      <w:pPr>
        <w:pStyle w:val="10"/>
        <w:spacing w:line="480" w:lineRule="exact"/>
        <w:ind w:left="687" w:hangingChars="194" w:hanging="687"/>
        <w:rPr>
          <w:rFonts w:ascii="標楷體" w:eastAsia="標楷體" w:hAnsi="標楷體"/>
          <w:spacing w:val="17"/>
          <w:sz w:val="32"/>
          <w:szCs w:val="32"/>
          <w:lang w:val="en-US"/>
        </w:rPr>
      </w:pPr>
    </w:p>
    <w:sectPr w:rsidR="00FD136B" w:rsidRPr="00581493" w:rsidSect="00BB584F">
      <w:footerReference w:type="default" r:id="rId8"/>
      <w:pgSz w:w="16839" w:h="11907" w:orient="landscape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E5262" w14:textId="77777777" w:rsidR="00933EA1" w:rsidRDefault="00933EA1" w:rsidP="00FE709C">
      <w:pPr>
        <w:spacing w:line="240" w:lineRule="auto"/>
      </w:pPr>
      <w:r>
        <w:separator/>
      </w:r>
    </w:p>
  </w:endnote>
  <w:endnote w:type="continuationSeparator" w:id="0">
    <w:p w14:paraId="4FA78F8E" w14:textId="77777777" w:rsidR="00933EA1" w:rsidRDefault="00933EA1" w:rsidP="00FE7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2A2FD" w14:textId="77777777" w:rsidR="00CE6CE5" w:rsidRDefault="00CE6CE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1493" w:rsidRPr="00581493">
      <w:rPr>
        <w:noProof/>
        <w:lang w:val="zh-TW"/>
      </w:rPr>
      <w:t>1</w:t>
    </w:r>
    <w:r>
      <w:fldChar w:fldCharType="end"/>
    </w:r>
  </w:p>
  <w:p w14:paraId="264397D5" w14:textId="77777777" w:rsidR="00CE6CE5" w:rsidRDefault="00CE6C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345D5" w14:textId="77777777" w:rsidR="00933EA1" w:rsidRDefault="00933EA1" w:rsidP="00FE709C">
      <w:pPr>
        <w:spacing w:line="240" w:lineRule="auto"/>
      </w:pPr>
      <w:r>
        <w:separator/>
      </w:r>
    </w:p>
  </w:footnote>
  <w:footnote w:type="continuationSeparator" w:id="0">
    <w:p w14:paraId="6F931951" w14:textId="77777777" w:rsidR="00933EA1" w:rsidRDefault="00933EA1" w:rsidP="00FE70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9746E"/>
    <w:multiLevelType w:val="hybridMultilevel"/>
    <w:tmpl w:val="532E72D2"/>
    <w:lvl w:ilvl="0" w:tplc="FFD4F1D0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A12ACF"/>
    <w:multiLevelType w:val="hybridMultilevel"/>
    <w:tmpl w:val="FEA0CAA6"/>
    <w:lvl w:ilvl="0" w:tplc="E2D46A8E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A12E62"/>
    <w:multiLevelType w:val="hybridMultilevel"/>
    <w:tmpl w:val="0B74B214"/>
    <w:lvl w:ilvl="0" w:tplc="4E3015F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08"/>
    <w:rsid w:val="00042427"/>
    <w:rsid w:val="0004261D"/>
    <w:rsid w:val="00046AA2"/>
    <w:rsid w:val="000834B4"/>
    <w:rsid w:val="000D5D1C"/>
    <w:rsid w:val="00124547"/>
    <w:rsid w:val="001321D5"/>
    <w:rsid w:val="0013347D"/>
    <w:rsid w:val="00135E8B"/>
    <w:rsid w:val="00146865"/>
    <w:rsid w:val="001B1AAA"/>
    <w:rsid w:val="001B3C5D"/>
    <w:rsid w:val="001B797F"/>
    <w:rsid w:val="001C7ADA"/>
    <w:rsid w:val="001E39FE"/>
    <w:rsid w:val="001F0D27"/>
    <w:rsid w:val="001F76B4"/>
    <w:rsid w:val="0022583D"/>
    <w:rsid w:val="00230D07"/>
    <w:rsid w:val="0024287C"/>
    <w:rsid w:val="00257F08"/>
    <w:rsid w:val="00297E4C"/>
    <w:rsid w:val="002B536E"/>
    <w:rsid w:val="002B5D33"/>
    <w:rsid w:val="002C33EA"/>
    <w:rsid w:val="00332959"/>
    <w:rsid w:val="003543F7"/>
    <w:rsid w:val="00355DC1"/>
    <w:rsid w:val="00387757"/>
    <w:rsid w:val="003B1CBD"/>
    <w:rsid w:val="003B6C97"/>
    <w:rsid w:val="003C0C32"/>
    <w:rsid w:val="003D4E06"/>
    <w:rsid w:val="004023B7"/>
    <w:rsid w:val="004517C7"/>
    <w:rsid w:val="004554A3"/>
    <w:rsid w:val="00457445"/>
    <w:rsid w:val="00474B62"/>
    <w:rsid w:val="004C2E6A"/>
    <w:rsid w:val="004D2729"/>
    <w:rsid w:val="00552435"/>
    <w:rsid w:val="0057562B"/>
    <w:rsid w:val="00581493"/>
    <w:rsid w:val="0059345B"/>
    <w:rsid w:val="00594A50"/>
    <w:rsid w:val="005D0B37"/>
    <w:rsid w:val="005D1326"/>
    <w:rsid w:val="005E45FF"/>
    <w:rsid w:val="00607C7B"/>
    <w:rsid w:val="00646437"/>
    <w:rsid w:val="0065008F"/>
    <w:rsid w:val="00653C50"/>
    <w:rsid w:val="00673373"/>
    <w:rsid w:val="006F1A2B"/>
    <w:rsid w:val="00710E7A"/>
    <w:rsid w:val="00776D7D"/>
    <w:rsid w:val="00781D28"/>
    <w:rsid w:val="007A36DE"/>
    <w:rsid w:val="007F1E89"/>
    <w:rsid w:val="00836286"/>
    <w:rsid w:val="00837DE4"/>
    <w:rsid w:val="00840A69"/>
    <w:rsid w:val="00852853"/>
    <w:rsid w:val="0087212F"/>
    <w:rsid w:val="008B6B9D"/>
    <w:rsid w:val="008E1E9C"/>
    <w:rsid w:val="008E4C40"/>
    <w:rsid w:val="008F2F27"/>
    <w:rsid w:val="008F364C"/>
    <w:rsid w:val="008F5989"/>
    <w:rsid w:val="009038F1"/>
    <w:rsid w:val="00904487"/>
    <w:rsid w:val="00933EA1"/>
    <w:rsid w:val="0094003A"/>
    <w:rsid w:val="00967161"/>
    <w:rsid w:val="00971FDD"/>
    <w:rsid w:val="00984C54"/>
    <w:rsid w:val="0098586F"/>
    <w:rsid w:val="0099297B"/>
    <w:rsid w:val="00997D8D"/>
    <w:rsid w:val="009E717D"/>
    <w:rsid w:val="009F2389"/>
    <w:rsid w:val="00AB489A"/>
    <w:rsid w:val="00AD464C"/>
    <w:rsid w:val="00AD5668"/>
    <w:rsid w:val="00B14B09"/>
    <w:rsid w:val="00B151EE"/>
    <w:rsid w:val="00B36200"/>
    <w:rsid w:val="00B538F5"/>
    <w:rsid w:val="00BB584F"/>
    <w:rsid w:val="00BD54BC"/>
    <w:rsid w:val="00BE6F99"/>
    <w:rsid w:val="00C03A2F"/>
    <w:rsid w:val="00C11BA1"/>
    <w:rsid w:val="00C46503"/>
    <w:rsid w:val="00C81B26"/>
    <w:rsid w:val="00CB3E54"/>
    <w:rsid w:val="00CE6CE5"/>
    <w:rsid w:val="00CF6744"/>
    <w:rsid w:val="00D304A7"/>
    <w:rsid w:val="00D3700F"/>
    <w:rsid w:val="00DC4AD7"/>
    <w:rsid w:val="00DE4DC2"/>
    <w:rsid w:val="00E42EC5"/>
    <w:rsid w:val="00E763B6"/>
    <w:rsid w:val="00E96D78"/>
    <w:rsid w:val="00EC39FC"/>
    <w:rsid w:val="00EC655D"/>
    <w:rsid w:val="00F07BA6"/>
    <w:rsid w:val="00F16821"/>
    <w:rsid w:val="00F623F6"/>
    <w:rsid w:val="00F723D5"/>
    <w:rsid w:val="00F80EB3"/>
    <w:rsid w:val="00F940C9"/>
    <w:rsid w:val="00F97CD6"/>
    <w:rsid w:val="00FD136B"/>
    <w:rsid w:val="00FE709C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DE24D"/>
  <w15:chartTrackingRefBased/>
  <w15:docId w15:val="{389E9EFD-F582-4FC2-A012-5BFB140C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DA"/>
    <w:pPr>
      <w:widowControl w:val="0"/>
      <w:spacing w:line="6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1"/>
    <w:basedOn w:val="a3"/>
    <w:rsid w:val="00257F08"/>
  </w:style>
  <w:style w:type="paragraph" w:customStyle="1" w:styleId="10">
    <w:name w:val="樣式1"/>
    <w:basedOn w:val="a3"/>
    <w:rsid w:val="00257F08"/>
  </w:style>
  <w:style w:type="paragraph" w:customStyle="1" w:styleId="2">
    <w:name w:val="樣式2"/>
    <w:basedOn w:val="a3"/>
    <w:rsid w:val="00257F08"/>
  </w:style>
  <w:style w:type="paragraph" w:styleId="a3">
    <w:name w:val="Plain Text"/>
    <w:basedOn w:val="a"/>
    <w:link w:val="a4"/>
    <w:uiPriority w:val="99"/>
    <w:semiHidden/>
    <w:unhideWhenUsed/>
    <w:rsid w:val="00257F08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4">
    <w:name w:val="純文字 字元"/>
    <w:link w:val="a3"/>
    <w:uiPriority w:val="99"/>
    <w:semiHidden/>
    <w:rsid w:val="00257F08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FE709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FE709C"/>
    <w:rPr>
      <w:kern w:val="2"/>
    </w:rPr>
  </w:style>
  <w:style w:type="paragraph" w:styleId="a7">
    <w:name w:val="footer"/>
    <w:basedOn w:val="a"/>
    <w:link w:val="a8"/>
    <w:uiPriority w:val="99"/>
    <w:unhideWhenUsed/>
    <w:rsid w:val="00FE709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FE709C"/>
    <w:rPr>
      <w:kern w:val="2"/>
    </w:rPr>
  </w:style>
  <w:style w:type="table" w:styleId="a9">
    <w:name w:val="Table Grid"/>
    <w:basedOn w:val="a1"/>
    <w:uiPriority w:val="59"/>
    <w:rsid w:val="00FD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42427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4242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CECBA-C193-4258-AF70-7E1C97F7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161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l4111</dc:creator>
  <cp:keywords/>
  <cp:lastModifiedBy>user</cp:lastModifiedBy>
  <cp:revision>11</cp:revision>
  <cp:lastPrinted>2026-02-11T08:31:00Z</cp:lastPrinted>
  <dcterms:created xsi:type="dcterms:W3CDTF">2024-11-12T00:01:00Z</dcterms:created>
  <dcterms:modified xsi:type="dcterms:W3CDTF">2026-02-11T08:31:00Z</dcterms:modified>
</cp:coreProperties>
</file>