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9D" w:rsidRPr="0042409D" w:rsidRDefault="0042409D" w:rsidP="0042409D">
      <w:pPr>
        <w:widowControl/>
        <w:pBdr>
          <w:bottom w:val="single" w:sz="18" w:space="6" w:color="B3D1DD"/>
        </w:pBdr>
        <w:shd w:val="clear" w:color="auto" w:fill="FFFFFF"/>
        <w:spacing w:before="75" w:after="30"/>
        <w:outlineLvl w:val="1"/>
        <w:rPr>
          <w:rFonts w:ascii="微軟正黑體" w:eastAsia="微軟正黑體" w:hAnsi="微軟正黑體" w:cs="新細明體"/>
          <w:b/>
          <w:bCs/>
          <w:color w:val="2E4A58"/>
          <w:kern w:val="0"/>
          <w:sz w:val="43"/>
          <w:szCs w:val="43"/>
        </w:rPr>
      </w:pPr>
      <w:r w:rsidRPr="0042409D">
        <w:rPr>
          <w:rFonts w:ascii="微軟正黑體" w:eastAsia="微軟正黑體" w:hAnsi="微軟正黑體" w:cs="新細明體" w:hint="eastAsia"/>
          <w:b/>
          <w:bCs/>
          <w:color w:val="2E4A58"/>
          <w:kern w:val="0"/>
          <w:sz w:val="43"/>
          <w:szCs w:val="43"/>
        </w:rPr>
        <w:t>公職人員利益衝突迴避法第14條身分關係揭露專區</w:t>
      </w:r>
    </w:p>
    <w:p w:rsidR="0042409D" w:rsidRPr="0042409D" w:rsidRDefault="0042409D" w:rsidP="0042409D">
      <w:pPr>
        <w:widowControl/>
        <w:numPr>
          <w:ilvl w:val="0"/>
          <w:numId w:val="1"/>
        </w:numPr>
        <w:shd w:val="clear" w:color="auto" w:fill="FFFFFF"/>
        <w:spacing w:line="405" w:lineRule="atLeast"/>
        <w:ind w:left="0" w:right="360"/>
        <w:rPr>
          <w:rFonts w:ascii="微軟正黑體" w:eastAsia="微軟正黑體" w:hAnsi="微軟正黑體" w:cs="新細明體" w:hint="eastAsia"/>
          <w:color w:val="999999"/>
          <w:kern w:val="0"/>
          <w:sz w:val="27"/>
          <w:szCs w:val="27"/>
        </w:rPr>
      </w:pPr>
      <w:r w:rsidRPr="0042409D">
        <w:rPr>
          <w:rFonts w:ascii="微軟正黑體" w:eastAsia="微軟正黑體" w:hAnsi="微軟正黑體" w:cs="新細明體" w:hint="eastAsia"/>
          <w:color w:val="999999"/>
          <w:kern w:val="0"/>
          <w:sz w:val="27"/>
          <w:szCs w:val="27"/>
        </w:rPr>
        <w:t>資料發布日期：</w:t>
      </w:r>
      <w:r w:rsidRPr="0042409D">
        <w:rPr>
          <w:rFonts w:ascii="Arial" w:eastAsia="微軟正黑體" w:hAnsi="Arial" w:cs="Arial"/>
          <w:color w:val="996699"/>
          <w:kern w:val="0"/>
          <w:sz w:val="29"/>
          <w:szCs w:val="29"/>
        </w:rPr>
        <w:t>108/05/02</w:t>
      </w:r>
    </w:p>
    <w:p w:rsidR="0042409D" w:rsidRPr="0042409D" w:rsidRDefault="0042409D" w:rsidP="0042409D">
      <w:pPr>
        <w:widowControl/>
        <w:shd w:val="clear" w:color="auto" w:fill="FFFFFF"/>
        <w:spacing w:before="300" w:after="150" w:line="567" w:lineRule="atLeast"/>
        <w:outlineLvl w:val="2"/>
        <w:rPr>
          <w:rFonts w:ascii="微軟正黑體" w:eastAsia="微軟正黑體" w:hAnsi="微軟正黑體" w:cs="新細明體" w:hint="eastAsia"/>
          <w:color w:val="2E9AB5"/>
          <w:kern w:val="0"/>
          <w:sz w:val="36"/>
          <w:szCs w:val="36"/>
        </w:rPr>
      </w:pPr>
      <w:bookmarkStart w:id="0" w:name="_GoBack"/>
      <w:bookmarkEnd w:id="0"/>
      <w:r w:rsidRPr="0042409D">
        <w:rPr>
          <w:rFonts w:ascii="微軟正黑體" w:eastAsia="微軟正黑體" w:hAnsi="微軟正黑體" w:cs="新細明體" w:hint="eastAsia"/>
          <w:color w:val="2E9AB5"/>
          <w:kern w:val="0"/>
          <w:sz w:val="36"/>
          <w:szCs w:val="36"/>
        </w:rPr>
        <w:t>公職人員利益衝突迴避法第14條第2項公職人員及關係人身分關係揭露表範本(事前揭露與事後公開)</w:t>
      </w:r>
    </w:p>
    <w:p w:rsidR="0042409D" w:rsidRPr="0042409D" w:rsidRDefault="0042409D" w:rsidP="0042409D">
      <w:pPr>
        <w:widowControl/>
        <w:numPr>
          <w:ilvl w:val="0"/>
          <w:numId w:val="2"/>
        </w:numPr>
        <w:shd w:val="clear" w:color="auto" w:fill="FFFFFF"/>
        <w:spacing w:before="120" w:after="120"/>
        <w:ind w:left="0"/>
        <w:rPr>
          <w:rFonts w:ascii="微軟正黑體" w:eastAsia="微軟正黑體" w:hAnsi="微軟正黑體" w:cs="新細明體" w:hint="eastAsia"/>
          <w:color w:val="333333"/>
          <w:kern w:val="0"/>
          <w:sz w:val="27"/>
          <w:szCs w:val="27"/>
        </w:rPr>
      </w:pPr>
      <w:r w:rsidRPr="0042409D">
        <w:rPr>
          <w:rFonts w:ascii="微軟正黑體" w:eastAsia="微軟正黑體" w:hAnsi="微軟正黑體" w:cs="新細明體" w:hint="eastAsia"/>
          <w:color w:val="222222"/>
          <w:kern w:val="0"/>
          <w:sz w:val="27"/>
          <w:szCs w:val="27"/>
        </w:rPr>
        <w:t>依新修正之公職人員利益衝突迴避法（107年12月13日施行）第14條第2項規定，公職人員或其關係人與公職人員服務之機關團體或受其監督之機關團體為第1項但書第1款至第3款補助或交易行為前，應主動於申請或投標文件內據實表明其身分關係；於補助或交易行為成立後，該機關團體應連同其身分關係主動公開之。但屬第1項但書第3款基於法定身分依法令規定申請之補助者，不在此限；第18條第3項規定，違反第14條第2項規定者，處新臺幣5萬元以上50萬元以下罰鍰，並得按次處罰。</w:t>
      </w:r>
    </w:p>
    <w:p w:rsidR="0042409D" w:rsidRPr="0042409D" w:rsidRDefault="0042409D" w:rsidP="0042409D">
      <w:pPr>
        <w:widowControl/>
        <w:numPr>
          <w:ilvl w:val="0"/>
          <w:numId w:val="2"/>
        </w:numPr>
        <w:shd w:val="clear" w:color="auto" w:fill="FFFFFF"/>
        <w:spacing w:before="120" w:after="120"/>
        <w:ind w:left="0"/>
        <w:rPr>
          <w:rFonts w:ascii="微軟正黑體" w:eastAsia="微軟正黑體" w:hAnsi="微軟正黑體" w:cs="新細明體" w:hint="eastAsia"/>
          <w:color w:val="333333"/>
          <w:kern w:val="0"/>
          <w:sz w:val="27"/>
          <w:szCs w:val="27"/>
        </w:rPr>
      </w:pPr>
      <w:r w:rsidRPr="0042409D">
        <w:rPr>
          <w:rFonts w:ascii="微軟正黑體" w:eastAsia="微軟正黑體" w:hAnsi="微軟正黑體" w:cs="新細明體" w:hint="eastAsia"/>
          <w:color w:val="222222"/>
          <w:kern w:val="0"/>
          <w:sz w:val="27"/>
          <w:szCs w:val="27"/>
        </w:rPr>
        <w:t>配合上開修正規定，本部設計「公職人員利益衝突迴避法第14條第2項公職人員及關係人身分關係揭露表範本」</w:t>
      </w:r>
      <w:proofErr w:type="gramStart"/>
      <w:r w:rsidRPr="0042409D">
        <w:rPr>
          <w:rFonts w:ascii="微軟正黑體" w:eastAsia="微軟正黑體" w:hAnsi="微軟正黑體" w:cs="新細明體" w:hint="eastAsia"/>
          <w:color w:val="222222"/>
          <w:kern w:val="0"/>
          <w:sz w:val="27"/>
          <w:szCs w:val="27"/>
        </w:rPr>
        <w:t>【</w:t>
      </w:r>
      <w:proofErr w:type="gramEnd"/>
      <w:r w:rsidRPr="0042409D">
        <w:rPr>
          <w:rFonts w:ascii="微軟正黑體" w:eastAsia="微軟正黑體" w:hAnsi="微軟正黑體" w:cs="新細明體" w:hint="eastAsia"/>
          <w:color w:val="222222"/>
          <w:kern w:val="0"/>
          <w:sz w:val="27"/>
          <w:szCs w:val="27"/>
        </w:rPr>
        <w:t>A.事前揭露</w:t>
      </w:r>
      <w:proofErr w:type="gramStart"/>
      <w:r w:rsidRPr="0042409D">
        <w:rPr>
          <w:rFonts w:ascii="微軟正黑體" w:eastAsia="微軟正黑體" w:hAnsi="微軟正黑體" w:cs="新細明體" w:hint="eastAsia"/>
          <w:color w:val="222222"/>
          <w:kern w:val="0"/>
          <w:sz w:val="27"/>
          <w:szCs w:val="27"/>
        </w:rPr>
        <w:t>】</w:t>
      </w:r>
      <w:proofErr w:type="gramEnd"/>
      <w:r w:rsidRPr="0042409D">
        <w:rPr>
          <w:rFonts w:ascii="微軟正黑體" w:eastAsia="微軟正黑體" w:hAnsi="微軟正黑體" w:cs="新細明體" w:hint="eastAsia"/>
          <w:color w:val="222222"/>
          <w:kern w:val="0"/>
          <w:sz w:val="27"/>
          <w:szCs w:val="27"/>
        </w:rPr>
        <w:t>、</w:t>
      </w:r>
      <w:proofErr w:type="gramStart"/>
      <w:r w:rsidRPr="0042409D">
        <w:rPr>
          <w:rFonts w:ascii="微軟正黑體" w:eastAsia="微軟正黑體" w:hAnsi="微軟正黑體" w:cs="新細明體" w:hint="eastAsia"/>
          <w:color w:val="222222"/>
          <w:kern w:val="0"/>
          <w:sz w:val="27"/>
          <w:szCs w:val="27"/>
        </w:rPr>
        <w:t>【</w:t>
      </w:r>
      <w:proofErr w:type="gramEnd"/>
      <w:r w:rsidRPr="0042409D">
        <w:rPr>
          <w:rFonts w:ascii="微軟正黑體" w:eastAsia="微軟正黑體" w:hAnsi="微軟正黑體" w:cs="新細明體" w:hint="eastAsia"/>
          <w:color w:val="222222"/>
          <w:kern w:val="0"/>
          <w:sz w:val="27"/>
          <w:szCs w:val="27"/>
        </w:rPr>
        <w:t>B.事後公開</w:t>
      </w:r>
      <w:proofErr w:type="gramStart"/>
      <w:r w:rsidRPr="0042409D">
        <w:rPr>
          <w:rFonts w:ascii="微軟正黑體" w:eastAsia="微軟正黑體" w:hAnsi="微軟正黑體" w:cs="新細明體" w:hint="eastAsia"/>
          <w:color w:val="222222"/>
          <w:kern w:val="0"/>
          <w:sz w:val="27"/>
          <w:szCs w:val="27"/>
        </w:rPr>
        <w:t>】</w:t>
      </w:r>
      <w:proofErr w:type="gramEnd"/>
      <w:r w:rsidRPr="0042409D">
        <w:rPr>
          <w:rFonts w:ascii="微軟正黑體" w:eastAsia="微軟正黑體" w:hAnsi="微軟正黑體" w:cs="新細明體" w:hint="eastAsia"/>
          <w:color w:val="222222"/>
          <w:kern w:val="0"/>
          <w:sz w:val="27"/>
          <w:szCs w:val="27"/>
        </w:rPr>
        <w:t>，請參考運用。</w:t>
      </w:r>
    </w:p>
    <w:p w:rsidR="006A4739" w:rsidRPr="0042409D" w:rsidRDefault="006A4739"/>
    <w:sectPr w:rsidR="006A4739" w:rsidRPr="004240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84A"/>
    <w:multiLevelType w:val="multilevel"/>
    <w:tmpl w:val="29BA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051A9"/>
    <w:multiLevelType w:val="multilevel"/>
    <w:tmpl w:val="F296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9D"/>
    <w:rsid w:val="0042409D"/>
    <w:rsid w:val="006A4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2020-10-29T01:29:00Z</dcterms:created>
  <dcterms:modified xsi:type="dcterms:W3CDTF">2020-10-29T01:29:00Z</dcterms:modified>
</cp:coreProperties>
</file>