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463"/>
      </w:tblGrid>
      <w:tr w:rsidR="00F412C0" w14:paraId="72E6015D" w14:textId="77777777">
        <w:trPr>
          <w:trHeight w:val="454"/>
        </w:trPr>
        <w:tc>
          <w:tcPr>
            <w:tcW w:w="14463" w:type="dxa"/>
            <w:vAlign w:val="center"/>
          </w:tcPr>
          <w:p w14:paraId="51638B5B" w14:textId="77777777" w:rsidR="00F412C0" w:rsidRDefault="00000000">
            <w:pPr>
              <w:pStyle w:val="a7"/>
              <w:spacing w:line="440" w:lineRule="exact"/>
              <w:jc w:val="center"/>
            </w:pPr>
            <w:r>
              <w:rPr>
                <w:rFonts w:ascii="標楷體" w:eastAsia="標楷體" w:hAnsi="標楷體"/>
                <w:b/>
                <w:bCs/>
                <w:sz w:val="32"/>
                <w:szCs w:val="32"/>
                <w:lang w:val="af-ZA"/>
              </w:rPr>
              <w:t>高雄市</w:t>
            </w:r>
            <w:r>
              <w:rPr>
                <w:rFonts w:ascii="標楷體" w:eastAsia="標楷體" w:hAnsi="標楷體"/>
                <w:b/>
                <w:bCs/>
                <w:color w:val="FF0000"/>
                <w:sz w:val="32"/>
                <w:szCs w:val="32"/>
                <w:lang w:val="af-ZA"/>
              </w:rPr>
              <w:t>內門</w:t>
            </w:r>
            <w:r>
              <w:rPr>
                <w:rFonts w:ascii="標楷體" w:eastAsia="標楷體" w:hAnsi="標楷體"/>
                <w:b/>
                <w:bCs/>
                <w:sz w:val="32"/>
                <w:szCs w:val="32"/>
                <w:lang w:val="af-ZA"/>
              </w:rPr>
              <w:t>區農</w:t>
            </w:r>
            <w:r>
              <w:rPr>
                <w:rFonts w:ascii="標楷體" w:eastAsia="標楷體" w:hAnsi="標楷體"/>
                <w:b/>
                <w:bCs/>
                <w:sz w:val="32"/>
                <w:szCs w:val="32"/>
              </w:rPr>
              <w:t>耕土地面積編製說明</w:t>
            </w:r>
          </w:p>
        </w:tc>
      </w:tr>
      <w:tr w:rsidR="00F412C0" w14:paraId="380E548E" w14:textId="77777777">
        <w:trPr>
          <w:trHeight w:val="454"/>
        </w:trPr>
        <w:tc>
          <w:tcPr>
            <w:tcW w:w="14463" w:type="dxa"/>
          </w:tcPr>
          <w:p w14:paraId="7CCF4EC8" w14:textId="77777777" w:rsidR="00F412C0" w:rsidRDefault="00000000">
            <w:pPr>
              <w:pStyle w:val="a7"/>
              <w:spacing w:line="440" w:lineRule="exact"/>
              <w:jc w:val="righ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/>
                <w:bCs/>
                <w:sz w:val="28"/>
                <w:szCs w:val="28"/>
              </w:rPr>
              <w:t>11243-01-01-3</w:t>
            </w:r>
          </w:p>
        </w:tc>
      </w:tr>
      <w:tr w:rsidR="00F412C0" w14:paraId="4857332B" w14:textId="77777777">
        <w:trPr>
          <w:trHeight w:val="454"/>
        </w:trPr>
        <w:tc>
          <w:tcPr>
            <w:tcW w:w="14463" w:type="dxa"/>
          </w:tcPr>
          <w:p w14:paraId="18CE95D8" w14:textId="77777777" w:rsidR="00F412C0" w:rsidRDefault="00000000">
            <w:pPr>
              <w:pStyle w:val="a7"/>
              <w:spacing w:line="440" w:lineRule="exact"/>
              <w:ind w:left="2724" w:hanging="2724"/>
            </w:pPr>
            <w:r>
              <w:rPr>
                <w:rFonts w:ascii="標楷體" w:eastAsia="標楷體" w:hAnsi="標楷體"/>
                <w:bCs/>
                <w:sz w:val="28"/>
                <w:szCs w:val="28"/>
              </w:rPr>
              <w:t>一、統計範圍及對象：</w:t>
            </w:r>
            <w:r>
              <w:rPr>
                <w:rFonts w:ascii="標楷體" w:eastAsia="標楷體" w:hAnsi="標楷體"/>
                <w:sz w:val="28"/>
                <w:szCs w:val="28"/>
              </w:rPr>
              <w:t>凡本區內</w:t>
            </w:r>
            <w:r>
              <w:rPr>
                <w:rFonts w:ascii="標楷體" w:eastAsia="標楷體" w:hAnsi="標楷體"/>
                <w:kern w:val="0"/>
                <w:sz w:val="28"/>
                <w:szCs w:val="28"/>
              </w:rPr>
              <w:t>可供種植經濟生產農作物之土地，</w:t>
            </w:r>
            <w:r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  <w:t>無論土地</w:t>
            </w:r>
            <w:proofErr w:type="gramStart"/>
            <w:r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  <w:t>地</w:t>
            </w:r>
            <w:proofErr w:type="gramEnd"/>
            <w:r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  <w:t>目</w:t>
            </w:r>
            <w:r>
              <w:rPr>
                <w:rFonts w:ascii="新細明體" w:eastAsia="新細明體" w:hAnsi="新細明體"/>
                <w:kern w:val="0"/>
                <w:sz w:val="28"/>
                <w:szCs w:val="28"/>
              </w:rPr>
              <w:t>、</w:t>
            </w:r>
            <w:r>
              <w:rPr>
                <w:rFonts w:ascii="標楷體" w:eastAsia="標楷體" w:hAnsi="標楷體"/>
                <w:kern w:val="0"/>
                <w:sz w:val="28"/>
                <w:szCs w:val="28"/>
              </w:rPr>
              <w:t>是否適宜耕作或合法作為農業使用與否，</w:t>
            </w:r>
            <w:proofErr w:type="gramStart"/>
            <w:r>
              <w:rPr>
                <w:rFonts w:ascii="標楷體" w:eastAsia="標楷體" w:hAnsi="標楷體"/>
                <w:sz w:val="28"/>
                <w:szCs w:val="28"/>
              </w:rPr>
              <w:t>均為統計</w:t>
            </w:r>
            <w:proofErr w:type="gramEnd"/>
            <w:r>
              <w:rPr>
                <w:rFonts w:ascii="標楷體" w:eastAsia="標楷體" w:hAnsi="標楷體"/>
                <w:sz w:val="28"/>
                <w:szCs w:val="28"/>
              </w:rPr>
              <w:t>對象。</w:t>
            </w:r>
          </w:p>
        </w:tc>
      </w:tr>
      <w:tr w:rsidR="00F412C0" w14:paraId="0A49748F" w14:textId="77777777">
        <w:trPr>
          <w:trHeight w:val="454"/>
        </w:trPr>
        <w:tc>
          <w:tcPr>
            <w:tcW w:w="14463" w:type="dxa"/>
          </w:tcPr>
          <w:p w14:paraId="5452DF32" w14:textId="77777777" w:rsidR="00F412C0" w:rsidRDefault="00000000">
            <w:pPr>
              <w:pStyle w:val="a7"/>
              <w:spacing w:line="440" w:lineRule="exact"/>
            </w:pPr>
            <w:r>
              <w:rPr>
                <w:rFonts w:ascii="標楷體" w:eastAsia="標楷體" w:hAnsi="標楷體"/>
                <w:bCs/>
                <w:sz w:val="28"/>
                <w:szCs w:val="28"/>
              </w:rPr>
              <w:t>二、統計標準時間：</w:t>
            </w:r>
            <w:r>
              <w:rPr>
                <w:rFonts w:ascii="標楷體" w:eastAsia="標楷體" w:hAnsi="標楷體"/>
                <w:sz w:val="28"/>
                <w:szCs w:val="28"/>
              </w:rPr>
              <w:t>以每年</w:t>
            </w:r>
            <w:r>
              <w:rPr>
                <w:rFonts w:ascii="標楷體" w:eastAsia="標楷體" w:hAnsi="標楷體"/>
                <w:color w:val="FF0000"/>
                <w:sz w:val="28"/>
                <w:szCs w:val="28"/>
              </w:rPr>
              <w:t>1</w:t>
            </w:r>
            <w:r>
              <w:rPr>
                <w:rFonts w:ascii="標楷體" w:eastAsia="標楷體" w:hAnsi="標楷體"/>
                <w:sz w:val="28"/>
                <w:szCs w:val="28"/>
              </w:rPr>
              <w:t>期作之耕作之事實為</w:t>
            </w:r>
            <w:proofErr w:type="gramStart"/>
            <w:r>
              <w:rPr>
                <w:rFonts w:ascii="標楷體" w:eastAsia="標楷體" w:hAnsi="標楷體"/>
                <w:sz w:val="28"/>
                <w:szCs w:val="28"/>
              </w:rPr>
              <w:t>準</w:t>
            </w:r>
            <w:proofErr w:type="gramEnd"/>
            <w:r>
              <w:rPr>
                <w:rFonts w:ascii="標楷體" w:eastAsia="標楷體" w:hAnsi="標楷體"/>
                <w:sz w:val="28"/>
                <w:szCs w:val="28"/>
              </w:rPr>
              <w:t>。</w:t>
            </w:r>
          </w:p>
        </w:tc>
      </w:tr>
      <w:tr w:rsidR="00F412C0" w14:paraId="4DFF1007" w14:textId="77777777">
        <w:trPr>
          <w:trHeight w:val="454"/>
        </w:trPr>
        <w:tc>
          <w:tcPr>
            <w:tcW w:w="14463" w:type="dxa"/>
          </w:tcPr>
          <w:p w14:paraId="3F093AEF" w14:textId="77777777" w:rsidR="00F412C0" w:rsidRDefault="00000000">
            <w:pPr>
              <w:pStyle w:val="a7"/>
              <w:spacing w:line="44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/>
                <w:bCs/>
                <w:sz w:val="28"/>
                <w:szCs w:val="28"/>
              </w:rPr>
              <w:t>三、分類標準：</w:t>
            </w:r>
          </w:p>
          <w:p w14:paraId="6026CA60" w14:textId="77777777" w:rsidR="00F412C0" w:rsidRDefault="00000000">
            <w:pPr>
              <w:pStyle w:val="a7"/>
              <w:spacing w:line="44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/>
                <w:bCs/>
                <w:sz w:val="28"/>
                <w:szCs w:val="28"/>
              </w:rPr>
              <w:t xml:space="preserve">  （一）縱項目:分耕作地、長期休閒地兩大類。耕作地分為短期耕作地、長期耕作地；短期耕作地再分為水稻、水</w:t>
            </w:r>
          </w:p>
          <w:p w14:paraId="4B2E9FC3" w14:textId="77777777" w:rsidR="00F412C0" w:rsidRDefault="00000000">
            <w:pPr>
              <w:pStyle w:val="a7"/>
              <w:spacing w:line="440" w:lineRule="exact"/>
            </w:pPr>
            <w:r>
              <w:rPr>
                <w:rFonts w:ascii="標楷體" w:eastAsia="標楷體" w:hAnsi="標楷體"/>
                <w:bCs/>
                <w:sz w:val="28"/>
                <w:szCs w:val="28"/>
              </w:rPr>
              <w:t xml:space="preserve">               稻以外之短期作、短期休閒。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</w:p>
          <w:p w14:paraId="56B3E257" w14:textId="77777777" w:rsidR="00F412C0" w:rsidRDefault="00000000">
            <w:pPr>
              <w:pStyle w:val="a7"/>
              <w:spacing w:line="440" w:lineRule="exact"/>
            </w:pPr>
            <w:r>
              <w:rPr>
                <w:rFonts w:ascii="標楷體" w:eastAsia="標楷體" w:hAnsi="標楷體"/>
                <w:sz w:val="28"/>
                <w:szCs w:val="28"/>
              </w:rPr>
              <w:t xml:space="preserve">  （二）橫項目:按行政區別分</w:t>
            </w:r>
            <w:r>
              <w:rPr>
                <w:rFonts w:ascii="新細明體" w:eastAsia="新細明體" w:hAnsi="新細明體"/>
                <w:sz w:val="28"/>
                <w:szCs w:val="28"/>
              </w:rPr>
              <w:t>。</w:t>
            </w:r>
          </w:p>
        </w:tc>
      </w:tr>
      <w:tr w:rsidR="00F412C0" w14:paraId="7A6B4A43" w14:textId="77777777">
        <w:trPr>
          <w:trHeight w:val="454"/>
        </w:trPr>
        <w:tc>
          <w:tcPr>
            <w:tcW w:w="14463" w:type="dxa"/>
          </w:tcPr>
          <w:p w14:paraId="4D16B003" w14:textId="77777777" w:rsidR="00F412C0" w:rsidRDefault="00000000">
            <w:pPr>
              <w:pStyle w:val="a7"/>
              <w:spacing w:line="44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/>
                <w:bCs/>
                <w:sz w:val="28"/>
                <w:szCs w:val="28"/>
              </w:rPr>
              <w:t>四、統計項目定義：</w:t>
            </w:r>
          </w:p>
        </w:tc>
      </w:tr>
      <w:tr w:rsidR="00F412C0" w14:paraId="688ABA47" w14:textId="77777777">
        <w:trPr>
          <w:trHeight w:val="454"/>
        </w:trPr>
        <w:tc>
          <w:tcPr>
            <w:tcW w:w="14463" w:type="dxa"/>
          </w:tcPr>
          <w:p w14:paraId="010CF11E" w14:textId="77777777" w:rsidR="00F412C0" w:rsidRDefault="00000000">
            <w:pPr>
              <w:pStyle w:val="a6"/>
              <w:ind w:firstLine="456"/>
            </w:pPr>
            <w:r>
              <w:rPr>
                <w:rFonts w:ascii="標楷體" w:eastAsia="標楷體" w:hAnsi="標楷體"/>
                <w:kern w:val="0"/>
                <w:sz w:val="28"/>
              </w:rPr>
              <w:t>(</w:t>
            </w:r>
            <w:r>
              <w:rPr>
                <w:rFonts w:ascii="標楷體" w:eastAsia="標楷體" w:hAnsi="標楷體"/>
                <w:kern w:val="0"/>
                <w:sz w:val="28"/>
                <w:lang w:eastAsia="zh-HK"/>
              </w:rPr>
              <w:t>一)農耕土地指不論現況種植與否，可供栽培作物之土地，</w:t>
            </w:r>
            <w:r>
              <w:rPr>
                <w:rFonts w:ascii="標楷體" w:eastAsia="標楷體" w:hAnsi="標楷體"/>
                <w:kern w:val="0"/>
                <w:sz w:val="28"/>
                <w:szCs w:val="28"/>
                <w:lang w:eastAsia="zh-HK"/>
              </w:rPr>
              <w:t>包括</w:t>
            </w:r>
            <w:r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  <w:t>休耕地、</w:t>
            </w:r>
            <w:r>
              <w:rPr>
                <w:rFonts w:ascii="標楷體" w:eastAsia="標楷體" w:hAnsi="標楷體"/>
                <w:kern w:val="0"/>
                <w:sz w:val="28"/>
                <w:szCs w:val="28"/>
                <w:lang w:eastAsia="zh-HK"/>
              </w:rPr>
              <w:t>短期</w:t>
            </w:r>
            <w:r>
              <w:rPr>
                <w:rFonts w:ascii="標楷體" w:eastAsia="標楷體" w:hAnsi="標楷體"/>
                <w:color w:val="FF0000"/>
                <w:kern w:val="0"/>
                <w:sz w:val="28"/>
                <w:szCs w:val="28"/>
                <w:lang w:eastAsia="zh-HK"/>
              </w:rPr>
              <w:t>休閒地</w:t>
            </w:r>
            <w:r>
              <w:rPr>
                <w:rFonts w:ascii="標楷體" w:eastAsia="標楷體" w:hAnsi="標楷體"/>
                <w:kern w:val="0"/>
                <w:sz w:val="28"/>
                <w:szCs w:val="28"/>
                <w:lang w:eastAsia="zh-HK"/>
              </w:rPr>
              <w:t>及長期休閒地</w:t>
            </w:r>
            <w:r>
              <w:rPr>
                <w:rFonts w:ascii="標楷體" w:eastAsia="標楷體" w:hAnsi="標楷體"/>
                <w:kern w:val="0"/>
                <w:sz w:val="28"/>
                <w:lang w:eastAsia="zh-HK"/>
              </w:rPr>
              <w:t>。</w:t>
            </w:r>
          </w:p>
        </w:tc>
      </w:tr>
      <w:tr w:rsidR="00F412C0" w14:paraId="37FA9A26" w14:textId="77777777">
        <w:trPr>
          <w:trHeight w:val="454"/>
        </w:trPr>
        <w:tc>
          <w:tcPr>
            <w:tcW w:w="14463" w:type="dxa"/>
          </w:tcPr>
          <w:p w14:paraId="2D192058" w14:textId="77777777" w:rsidR="00F412C0" w:rsidRDefault="00000000">
            <w:pPr>
              <w:pStyle w:val="a7"/>
              <w:spacing w:before="100" w:line="400" w:lineRule="exact"/>
              <w:ind w:firstLine="456"/>
            </w:pPr>
            <w:r>
              <w:rPr>
                <w:rFonts w:ascii="標楷體" w:eastAsia="標楷體" w:hAnsi="標楷體"/>
                <w:kern w:val="0"/>
                <w:sz w:val="28"/>
              </w:rPr>
              <w:t>(</w:t>
            </w:r>
            <w:r>
              <w:rPr>
                <w:rFonts w:ascii="標楷體" w:eastAsia="標楷體" w:hAnsi="標楷體"/>
                <w:kern w:val="0"/>
                <w:sz w:val="28"/>
                <w:lang w:eastAsia="zh-HK"/>
              </w:rPr>
              <w:t>二)耕作地</w:t>
            </w:r>
            <w:r>
              <w:rPr>
                <w:rFonts w:ascii="Times New Roman" w:eastAsia="標楷體" w:hAnsi="Times New Roman"/>
                <w:kern w:val="0"/>
                <w:sz w:val="28"/>
              </w:rPr>
              <w:t>：</w:t>
            </w:r>
          </w:p>
        </w:tc>
      </w:tr>
      <w:tr w:rsidR="00F412C0" w14:paraId="0DF64042" w14:textId="77777777">
        <w:trPr>
          <w:trHeight w:val="454"/>
        </w:trPr>
        <w:tc>
          <w:tcPr>
            <w:tcW w:w="14463" w:type="dxa"/>
          </w:tcPr>
          <w:p w14:paraId="23F876E7" w14:textId="77777777" w:rsidR="00F412C0" w:rsidRDefault="00000000">
            <w:pPr>
              <w:pStyle w:val="a7"/>
              <w:spacing w:before="100" w:line="400" w:lineRule="exact"/>
              <w:ind w:firstLine="1025"/>
            </w:pPr>
            <w:r>
              <w:rPr>
                <w:rFonts w:ascii="Times New Roman" w:eastAsia="標楷體" w:hAnsi="Times New Roman"/>
                <w:kern w:val="0"/>
                <w:sz w:val="28"/>
              </w:rPr>
              <w:t>1.</w:t>
            </w:r>
            <w:r>
              <w:rPr>
                <w:rFonts w:ascii="Times New Roman" w:eastAsia="標楷體" w:hAnsi="Times New Roman"/>
                <w:kern w:val="0"/>
                <w:sz w:val="28"/>
                <w:lang w:eastAsia="zh-HK"/>
              </w:rPr>
              <w:t>短期耕作地</w:t>
            </w:r>
            <w:r>
              <w:rPr>
                <w:rFonts w:ascii="新細明體" w:eastAsia="新細明體" w:hAnsi="新細明體"/>
                <w:kern w:val="0"/>
                <w:sz w:val="28"/>
                <w:lang w:eastAsia="zh-HK"/>
              </w:rPr>
              <w:t>：</w:t>
            </w:r>
            <w:r>
              <w:rPr>
                <w:rFonts w:ascii="Times New Roman" w:eastAsia="標楷體" w:hAnsi="Times New Roman"/>
                <w:color w:val="FF0000"/>
                <w:kern w:val="0"/>
                <w:sz w:val="28"/>
                <w:szCs w:val="28"/>
              </w:rPr>
              <w:t>含栽培水稻之耕地、水稻以外之短期作耕地</w:t>
            </w:r>
            <w:r>
              <w:rPr>
                <w:rFonts w:ascii="Times New Roman" w:eastAsia="標楷體" w:hAnsi="Times New Roman"/>
                <w:color w:val="FF0000"/>
                <w:kern w:val="0"/>
                <w:sz w:val="28"/>
                <w:szCs w:val="28"/>
              </w:rPr>
              <w:t>(</w:t>
            </w:r>
            <w:r>
              <w:rPr>
                <w:rFonts w:ascii="Times New Roman" w:eastAsia="標楷體" w:hAnsi="Times New Roman"/>
                <w:color w:val="FF0000"/>
                <w:kern w:val="0"/>
                <w:sz w:val="28"/>
                <w:szCs w:val="28"/>
              </w:rPr>
              <w:t>雜糧、蔬菜等</w:t>
            </w:r>
            <w:r>
              <w:rPr>
                <w:rFonts w:ascii="Times New Roman" w:eastAsia="標楷體" w:hAnsi="Times New Roman"/>
                <w:color w:val="FF0000"/>
                <w:kern w:val="0"/>
                <w:sz w:val="28"/>
                <w:szCs w:val="28"/>
              </w:rPr>
              <w:t>)</w:t>
            </w:r>
            <w:r>
              <w:rPr>
                <w:rFonts w:ascii="Times New Roman" w:eastAsia="標楷體" w:hAnsi="Times New Roman"/>
                <w:color w:val="FF0000"/>
                <w:kern w:val="0"/>
                <w:sz w:val="28"/>
                <w:szCs w:val="28"/>
              </w:rPr>
              <w:t>及短期休閒地。</w:t>
            </w:r>
          </w:p>
        </w:tc>
      </w:tr>
      <w:tr w:rsidR="00F412C0" w14:paraId="4E5B6593" w14:textId="77777777">
        <w:trPr>
          <w:trHeight w:val="454"/>
        </w:trPr>
        <w:tc>
          <w:tcPr>
            <w:tcW w:w="14463" w:type="dxa"/>
          </w:tcPr>
          <w:p w14:paraId="3B0BCA44" w14:textId="77777777" w:rsidR="00F412C0" w:rsidRDefault="00000000">
            <w:pPr>
              <w:pStyle w:val="a7"/>
              <w:spacing w:before="100" w:line="400" w:lineRule="exact"/>
              <w:ind w:firstLine="1025"/>
            </w:pPr>
            <w:r>
              <w:rPr>
                <w:rFonts w:ascii="Times New Roman" w:eastAsia="標楷體" w:hAnsi="Times New Roman"/>
                <w:kern w:val="0"/>
                <w:sz w:val="28"/>
              </w:rPr>
              <w:t>2.</w:t>
            </w:r>
            <w:r>
              <w:rPr>
                <w:rFonts w:ascii="Times New Roman" w:eastAsia="標楷體" w:hAnsi="Times New Roman"/>
                <w:kern w:val="0"/>
                <w:sz w:val="28"/>
              </w:rPr>
              <w:t>長期耕作地：</w:t>
            </w:r>
            <w:r>
              <w:rPr>
                <w:rFonts w:ascii="Times New Roman" w:eastAsia="標楷體" w:hAnsi="Times New Roman"/>
                <w:color w:val="FF0000"/>
                <w:kern w:val="0"/>
                <w:sz w:val="28"/>
                <w:szCs w:val="28"/>
              </w:rPr>
              <w:t>指栽培長期果樹類等之耕地。</w:t>
            </w:r>
          </w:p>
        </w:tc>
      </w:tr>
      <w:tr w:rsidR="00F412C0" w14:paraId="7DDFED2D" w14:textId="77777777">
        <w:trPr>
          <w:trHeight w:val="454"/>
        </w:trPr>
        <w:tc>
          <w:tcPr>
            <w:tcW w:w="14463" w:type="dxa"/>
          </w:tcPr>
          <w:p w14:paraId="23548E33" w14:textId="77777777" w:rsidR="00F412C0" w:rsidRDefault="00000000">
            <w:pPr>
              <w:pStyle w:val="a7"/>
              <w:spacing w:before="100" w:line="400" w:lineRule="exact"/>
              <w:ind w:firstLine="456"/>
            </w:pPr>
            <w:r>
              <w:rPr>
                <w:rFonts w:ascii="標楷體" w:eastAsia="標楷體" w:hAnsi="標楷體"/>
                <w:kern w:val="0"/>
                <w:sz w:val="28"/>
              </w:rPr>
              <w:t>(三</w:t>
            </w:r>
            <w:r>
              <w:rPr>
                <w:rFonts w:ascii="標楷體" w:eastAsia="標楷體" w:hAnsi="標楷體"/>
                <w:kern w:val="0"/>
                <w:sz w:val="28"/>
                <w:lang w:eastAsia="zh-HK"/>
              </w:rPr>
              <w:t>)</w:t>
            </w:r>
            <w:r>
              <w:rPr>
                <w:rFonts w:ascii="Times New Roman" w:eastAsia="標楷體" w:hAnsi="Times New Roman"/>
                <w:kern w:val="0"/>
                <w:sz w:val="28"/>
              </w:rPr>
              <w:t>長期休閒地：係指耕地長期荒蕪，未種植作物之土地</w:t>
            </w:r>
            <w:r>
              <w:rPr>
                <w:rFonts w:ascii="Times New Roman" w:eastAsia="標楷體" w:hAnsi="Times New Roman"/>
                <w:sz w:val="28"/>
              </w:rPr>
              <w:t>。</w:t>
            </w:r>
          </w:p>
        </w:tc>
      </w:tr>
      <w:tr w:rsidR="00F412C0" w14:paraId="58159BEF" w14:textId="77777777">
        <w:trPr>
          <w:trHeight w:val="454"/>
        </w:trPr>
        <w:tc>
          <w:tcPr>
            <w:tcW w:w="14463" w:type="dxa"/>
          </w:tcPr>
          <w:p w14:paraId="129ACF76" w14:textId="77777777" w:rsidR="00F412C0" w:rsidRDefault="00000000">
            <w:pPr>
              <w:pStyle w:val="a7"/>
              <w:spacing w:line="440" w:lineRule="exact"/>
            </w:pPr>
            <w:r>
              <w:rPr>
                <w:rFonts w:ascii="標楷體" w:eastAsia="標楷體" w:hAnsi="標楷體"/>
                <w:bCs/>
                <w:sz w:val="28"/>
                <w:szCs w:val="28"/>
              </w:rPr>
              <w:t>五、資料蒐集方法及編製程序：</w:t>
            </w:r>
            <w:r>
              <w:rPr>
                <w:rFonts w:ascii="標楷體" w:eastAsia="標楷體" w:hAnsi="標楷體"/>
                <w:sz w:val="28"/>
                <w:szCs w:val="28"/>
              </w:rPr>
              <w:t>由本所</w:t>
            </w:r>
            <w:proofErr w:type="gramStart"/>
            <w:r>
              <w:rPr>
                <w:rFonts w:ascii="標楷體" w:eastAsia="標楷體" w:hAnsi="標楷體"/>
                <w:color w:val="FF0000"/>
                <w:sz w:val="28"/>
                <w:szCs w:val="28"/>
              </w:rPr>
              <w:t>農建</w:t>
            </w:r>
            <w:r>
              <w:rPr>
                <w:rFonts w:ascii="標楷體" w:eastAsia="標楷體" w:hAnsi="標楷體"/>
                <w:sz w:val="28"/>
                <w:szCs w:val="28"/>
              </w:rPr>
              <w:t>課依據</w:t>
            </w:r>
            <w:proofErr w:type="gramEnd"/>
            <w:r>
              <w:rPr>
                <w:rFonts w:ascii="標楷體" w:eastAsia="標楷體" w:hAnsi="標楷體"/>
                <w:sz w:val="28"/>
                <w:szCs w:val="28"/>
              </w:rPr>
              <w:t>農糧情調查作業資訊系統資料編製。</w:t>
            </w:r>
          </w:p>
        </w:tc>
      </w:tr>
      <w:tr w:rsidR="00F412C0" w14:paraId="7AE52D58" w14:textId="77777777">
        <w:trPr>
          <w:trHeight w:val="454"/>
        </w:trPr>
        <w:tc>
          <w:tcPr>
            <w:tcW w:w="14463" w:type="dxa"/>
          </w:tcPr>
          <w:p w14:paraId="500C1742" w14:textId="77777777" w:rsidR="00F412C0" w:rsidRDefault="00000000">
            <w:pPr>
              <w:pStyle w:val="a7"/>
              <w:spacing w:line="440" w:lineRule="exact"/>
              <w:ind w:left="1960" w:hanging="1960"/>
            </w:pPr>
            <w:r>
              <w:rPr>
                <w:rFonts w:ascii="標楷體" w:eastAsia="標楷體" w:hAnsi="標楷體"/>
                <w:bCs/>
                <w:sz w:val="28"/>
                <w:szCs w:val="28"/>
              </w:rPr>
              <w:t>六、編送對象：</w:t>
            </w:r>
            <w:proofErr w:type="gramStart"/>
            <w:r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本表編製</w:t>
            </w:r>
            <w:proofErr w:type="gramEnd"/>
            <w:r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1式4份，2份送高雄市政府農業局(其中1份轉送市府主計處)，1份送本所</w:t>
            </w:r>
            <w:r>
              <w:rPr>
                <w:rFonts w:ascii="標楷體" w:eastAsia="標楷體" w:hAnsi="標楷體" w:cs="新細明體"/>
                <w:color w:val="FF0000"/>
                <w:kern w:val="0"/>
                <w:sz w:val="28"/>
                <w:szCs w:val="28"/>
              </w:rPr>
              <w:t>會計室</w:t>
            </w:r>
            <w:r>
              <w:rPr>
                <w:rFonts w:ascii="標楷體" w:eastAsia="標楷體" w:hAnsi="標楷體" w:cs="新細明體"/>
                <w:kern w:val="0"/>
                <w:sz w:val="28"/>
                <w:szCs w:val="28"/>
              </w:rPr>
              <w:t>，1份自存。</w:t>
            </w:r>
          </w:p>
        </w:tc>
      </w:tr>
    </w:tbl>
    <w:p w14:paraId="4509782A" w14:textId="77777777" w:rsidR="00F412C0" w:rsidRDefault="00F412C0">
      <w:pPr>
        <w:pStyle w:val="a7"/>
        <w:spacing w:line="440" w:lineRule="exact"/>
        <w:rPr>
          <w:rFonts w:ascii="標楷體" w:eastAsia="標楷體" w:hAnsi="標楷體"/>
          <w:sz w:val="28"/>
          <w:szCs w:val="28"/>
        </w:rPr>
      </w:pPr>
    </w:p>
    <w:sectPr w:rsidR="00F412C0">
      <w:footerReference w:type="default" r:id="rId6"/>
      <w:pgSz w:w="16839" w:h="11907" w:orient="landscape"/>
      <w:pgMar w:top="1134" w:right="1134" w:bottom="1134" w:left="1134" w:header="0" w:footer="284" w:gutter="0"/>
      <w:cols w:space="720"/>
      <w:formProt w:val="0"/>
      <w:docGrid w:type="lines" w:linePitch="600" w:charSpace="-204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127B7" w14:textId="77777777" w:rsidR="00C849C5" w:rsidRDefault="00C849C5">
      <w:r>
        <w:separator/>
      </w:r>
    </w:p>
  </w:endnote>
  <w:endnote w:type="continuationSeparator" w:id="0">
    <w:p w14:paraId="74687A31" w14:textId="77777777" w:rsidR="00C849C5" w:rsidRDefault="00C84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A75D8" w14:textId="77777777" w:rsidR="00F412C0" w:rsidRDefault="00000000">
    <w:pPr>
      <w:pStyle w:val="aa"/>
      <w:jc w:val="center"/>
    </w:pPr>
    <w:r>
      <w:rPr>
        <w:lang w:val="zh-TW"/>
      </w:rPr>
      <w:fldChar w:fldCharType="begin"/>
    </w:r>
    <w:r>
      <w:rPr>
        <w:lang w:val="zh-TW"/>
      </w:rPr>
      <w:instrText xml:space="preserve"> PAGE </w:instrText>
    </w:r>
    <w:r>
      <w:rPr>
        <w:lang w:val="zh-TW"/>
      </w:rPr>
      <w:fldChar w:fldCharType="separate"/>
    </w:r>
    <w:r>
      <w:rPr>
        <w:lang w:val="zh-TW"/>
      </w:rPr>
      <w:t>2</w:t>
    </w:r>
    <w:r>
      <w:rPr>
        <w:lang w:val="zh-TW"/>
      </w:rPr>
      <w:fldChar w:fldCharType="end"/>
    </w:r>
  </w:p>
  <w:p w14:paraId="7847D3FB" w14:textId="77777777" w:rsidR="00F412C0" w:rsidRDefault="00F412C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8E6B9" w14:textId="77777777" w:rsidR="00C849C5" w:rsidRDefault="00C849C5">
      <w:r>
        <w:separator/>
      </w:r>
    </w:p>
  </w:footnote>
  <w:footnote w:type="continuationSeparator" w:id="0">
    <w:p w14:paraId="047740DB" w14:textId="77777777" w:rsidR="00C849C5" w:rsidRDefault="00C849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12C0"/>
    <w:rsid w:val="001E6957"/>
    <w:rsid w:val="00687BB3"/>
    <w:rsid w:val="00C849C5"/>
    <w:rsid w:val="00F41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0C9434"/>
  <w15:docId w15:val="{E98D4BD6-EE22-4539-BABD-7167B6C6D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qFormat/>
    <w:rPr>
      <w:kern w:val="2"/>
    </w:rPr>
  </w:style>
  <w:style w:type="character" w:customStyle="1" w:styleId="a4">
    <w:name w:val="頁尾 字元"/>
    <w:qFormat/>
    <w:rPr>
      <w:kern w:val="2"/>
    </w:rPr>
  </w:style>
  <w:style w:type="character" w:customStyle="1" w:styleId="a5">
    <w:name w:val="註解方塊文字 字元"/>
    <w:qFormat/>
    <w:rPr>
      <w:rFonts w:ascii="Calibri Light" w:eastAsia="新細明體" w:hAnsi="Calibri Light" w:cs="Times New Roman"/>
      <w:kern w:val="2"/>
      <w:sz w:val="18"/>
      <w:szCs w:val="18"/>
    </w:rPr>
  </w:style>
  <w:style w:type="paragraph" w:styleId="a6">
    <w:name w:val="Body Text"/>
    <w:pPr>
      <w:widowControl w:val="0"/>
      <w:suppressAutoHyphens/>
    </w:pPr>
    <w:rPr>
      <w:kern w:val="2"/>
      <w:sz w:val="24"/>
    </w:rPr>
  </w:style>
  <w:style w:type="paragraph" w:styleId="a7">
    <w:name w:val="Plain Text"/>
    <w:basedOn w:val="a6"/>
    <w:qFormat/>
    <w:rPr>
      <w:rFonts w:ascii="細明體" w:eastAsia="細明體" w:hAnsi="細明體"/>
    </w:rPr>
  </w:style>
  <w:style w:type="paragraph" w:customStyle="1" w:styleId="a8">
    <w:name w:val="頁首與頁尾"/>
    <w:basedOn w:val="a"/>
    <w:qFormat/>
    <w:pPr>
      <w:suppressLineNumbers/>
      <w:tabs>
        <w:tab w:val="center" w:pos="4819"/>
        <w:tab w:val="right" w:pos="9638"/>
      </w:tabs>
    </w:pPr>
  </w:style>
  <w:style w:type="paragraph" w:styleId="a9">
    <w:name w:val="header"/>
    <w:basedOn w:val="a6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a">
    <w:name w:val="footer"/>
    <w:basedOn w:val="a6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b">
    <w:name w:val="Balloon Text"/>
    <w:basedOn w:val="a6"/>
    <w:qFormat/>
    <w:rPr>
      <w:rFonts w:ascii="Calibri Light" w:hAnsi="Calibri Light"/>
      <w:sz w:val="18"/>
      <w:szCs w:val="18"/>
    </w:rPr>
  </w:style>
  <w:style w:type="paragraph" w:customStyle="1" w:styleId="ac">
    <w:name w:val="表格內容"/>
    <w:basedOn w:val="a"/>
    <w:qFormat/>
    <w:pPr>
      <w:widowControl w:val="0"/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　灣　地  區  耕　地　面　積　編　製　說　明</dc:title>
  <dc:subject/>
  <dc:creator>WANGJY</dc:creator>
  <dc:description/>
  <cp:lastModifiedBy>Shiang Wang</cp:lastModifiedBy>
  <cp:revision>2</cp:revision>
  <cp:lastPrinted>2026-03-16T05:25:00Z</cp:lastPrinted>
  <dcterms:created xsi:type="dcterms:W3CDTF">2026-03-16T05:26:00Z</dcterms:created>
  <dcterms:modified xsi:type="dcterms:W3CDTF">2026-03-16T05:26:00Z</dcterms:modified>
  <dc:language>zh-TW</dc:language>
</cp:coreProperties>
</file>