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752B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cs="標楷體"/>
          <w:b/>
          <w:bCs/>
          <w:kern w:val="2"/>
          <w:sz w:val="32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32"/>
          <w:szCs w:val="28"/>
        </w:rPr>
        <w:t>高雄市梓官區公所提升服務執行計畫</w:t>
      </w:r>
    </w:p>
    <w:p w14:paraId="5462D0CE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14:paraId="6DF15509" w14:textId="77777777" w:rsidR="005D37E3" w:rsidRPr="005D37E3" w:rsidRDefault="005D37E3" w:rsidP="005D37E3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/>
          <w:b/>
          <w:bCs/>
          <w:kern w:val="2"/>
          <w:sz w:val="40"/>
          <w:szCs w:val="28"/>
        </w:rPr>
      </w:pPr>
    </w:p>
    <w:p w14:paraId="5E58312E" w14:textId="77777777"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計畫依據：</w:t>
      </w:r>
    </w:p>
    <w:p w14:paraId="786395BD" w14:textId="77777777" w:rsidR="005D37E3" w:rsidRPr="005D37E3" w:rsidRDefault="005D37E3" w:rsidP="005D37E3">
      <w:pPr>
        <w:suppressAutoHyphens w:val="0"/>
        <w:autoSpaceDN/>
        <w:spacing w:line="400" w:lineRule="exact"/>
        <w:ind w:firstLineChars="250" w:firstLine="700"/>
        <w:textAlignment w:val="auto"/>
        <w:rPr>
          <w:rFonts w:ascii="標楷體" w:eastAsia="標楷體" w:hAnsi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高雄市政府提升服務實施計畫</w:t>
      </w:r>
    </w:p>
    <w:p w14:paraId="1F74604F" w14:textId="77777777" w:rsidR="005D37E3" w:rsidRPr="005D37E3" w:rsidRDefault="005D37E3" w:rsidP="005D37E3">
      <w:pPr>
        <w:numPr>
          <w:ilvl w:val="0"/>
          <w:numId w:val="32"/>
        </w:num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計畫目標：</w:t>
      </w:r>
    </w:p>
    <w:p w14:paraId="4E9F78DC" w14:textId="77777777" w:rsidR="005D37E3" w:rsidRPr="005D37E3" w:rsidRDefault="005D37E3" w:rsidP="005D37E3">
      <w:pPr>
        <w:widowControl/>
        <w:numPr>
          <w:ilvl w:val="0"/>
          <w:numId w:val="33"/>
        </w:numPr>
        <w:suppressAutoHyphens w:val="0"/>
        <w:autoSpaceDN/>
        <w:adjustRightInd w:val="0"/>
        <w:snapToGrid w:val="0"/>
        <w:spacing w:line="400" w:lineRule="exact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 w:hint="eastAsia"/>
          <w:kern w:val="2"/>
          <w:sz w:val="28"/>
          <w:szCs w:val="28"/>
        </w:rPr>
        <w:t>持續推動民眾滿意服務，塑造專業、便民、高效率的公共服務形象與聲譽。</w:t>
      </w:r>
    </w:p>
    <w:p w14:paraId="56EC78AC" w14:textId="77777777" w:rsidR="005D37E3" w:rsidRPr="005D37E3" w:rsidRDefault="005D37E3" w:rsidP="005D37E3">
      <w:pPr>
        <w:suppressAutoHyphens w:val="0"/>
        <w:autoSpaceDN/>
        <w:spacing w:line="400" w:lineRule="exact"/>
        <w:ind w:left="700" w:hangingChars="250" w:hanging="70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二、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促使政府資訊透明化，提供友善網路服務，確保民眾知的權利與資訊使用權。</w:t>
      </w:r>
      <w:r w:rsidRPr="005D37E3">
        <w:rPr>
          <w:rFonts w:hint="eastAsia"/>
          <w:kern w:val="2"/>
          <w:sz w:val="28"/>
          <w:szCs w:val="28"/>
        </w:rPr>
        <w:t xml:space="preserve"> </w:t>
      </w:r>
      <w:r w:rsidRPr="005D37E3">
        <w:rPr>
          <w:rFonts w:ascii="標楷體" w:hAnsi="標楷體" w:hint="eastAsia"/>
          <w:kern w:val="2"/>
          <w:sz w:val="28"/>
          <w:szCs w:val="28"/>
        </w:rPr>
        <w:t xml:space="preserve"> </w:t>
      </w:r>
    </w:p>
    <w:p w14:paraId="48DE35C7" w14:textId="77777777" w:rsidR="005D37E3" w:rsidRPr="005D37E3" w:rsidRDefault="005D37E3" w:rsidP="005D37E3">
      <w:pPr>
        <w:tabs>
          <w:tab w:val="left" w:pos="851"/>
        </w:tabs>
        <w:suppressAutoHyphens w:val="0"/>
        <w:autoSpaceDN/>
        <w:spacing w:line="40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37E3">
        <w:rPr>
          <w:rFonts w:ascii="標楷體" w:eastAsia="標楷體" w:hAnsi="標楷體"/>
          <w:kern w:val="2"/>
          <w:sz w:val="28"/>
          <w:szCs w:val="28"/>
        </w:rPr>
        <w:t>三、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D37E3">
        <w:rPr>
          <w:rFonts w:ascii="標楷體" w:eastAsia="標楷體" w:hAnsi="標楷體"/>
          <w:kern w:val="2"/>
          <w:sz w:val="28"/>
          <w:szCs w:val="28"/>
        </w:rPr>
        <w:t>鼓</w:t>
      </w:r>
      <w:r w:rsidRPr="007D38AE">
        <w:rPr>
          <w:rFonts w:ascii="標楷體" w:eastAsia="標楷體" w:hAnsi="標楷體"/>
          <w:kern w:val="2"/>
          <w:sz w:val="28"/>
          <w:szCs w:val="28"/>
        </w:rPr>
        <w:t>勵</w:t>
      </w:r>
      <w:r w:rsidR="00252AA7" w:rsidRPr="007D38AE">
        <w:rPr>
          <w:rFonts w:ascii="標楷體" w:eastAsia="標楷體" w:hAnsi="標楷體" w:hint="eastAsia"/>
          <w:kern w:val="2"/>
          <w:sz w:val="28"/>
          <w:szCs w:val="28"/>
        </w:rPr>
        <w:t>各課室</w:t>
      </w:r>
      <w:r w:rsidRPr="007D38AE">
        <w:rPr>
          <w:rFonts w:ascii="標楷體" w:eastAsia="標楷體" w:hAnsi="標楷體"/>
          <w:kern w:val="2"/>
          <w:sz w:val="28"/>
          <w:szCs w:val="28"/>
        </w:rPr>
        <w:t>積極進行多面向整合各級政府服務功能，統合運用資源，開發創新服務措施，提升卓</w:t>
      </w:r>
      <w:r w:rsidRPr="005D37E3">
        <w:rPr>
          <w:rFonts w:ascii="標楷體" w:eastAsia="標楷體" w:hAnsi="標楷體"/>
          <w:kern w:val="2"/>
          <w:sz w:val="28"/>
          <w:szCs w:val="28"/>
        </w:rPr>
        <w:t>越服務品質。</w:t>
      </w:r>
      <w:r w:rsidRPr="005D37E3">
        <w:rPr>
          <w:rFonts w:ascii="標楷體" w:eastAsia="標楷體" w:hAnsi="標楷體" w:hint="eastAsia"/>
          <w:kern w:val="2"/>
          <w:sz w:val="28"/>
          <w:szCs w:val="28"/>
        </w:rPr>
        <w:t xml:space="preserve">   </w:t>
      </w:r>
    </w:p>
    <w:p w14:paraId="0FC1DE39" w14:textId="77777777" w:rsidR="005D37E3" w:rsidRPr="005D37E3" w:rsidRDefault="005D37E3" w:rsidP="005D37E3">
      <w:pPr>
        <w:suppressAutoHyphens w:val="0"/>
        <w:autoSpaceDN/>
        <w:spacing w:line="400" w:lineRule="exact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5D37E3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參、實施對象：</w:t>
      </w:r>
    </w:p>
    <w:p w14:paraId="1B76FCC3" w14:textId="77777777" w:rsidR="000D0F0D" w:rsidRPr="005D37E3" w:rsidRDefault="005D37E3" w:rsidP="005D37E3">
      <w:pPr>
        <w:suppressAutoHyphens w:val="0"/>
        <w:autoSpaceDN/>
        <w:spacing w:line="400" w:lineRule="exact"/>
        <w:ind w:leftChars="188" w:left="451" w:firstLineChars="50" w:firstLine="140"/>
        <w:jc w:val="both"/>
        <w:textAlignment w:val="auto"/>
        <w:rPr>
          <w:rFonts w:ascii="標楷體" w:eastAsia="標楷體" w:hAnsi="標楷體" w:cs="標楷體"/>
          <w:kern w:val="2"/>
          <w:sz w:val="28"/>
        </w:rPr>
      </w:pPr>
      <w:r w:rsidRPr="005D37E3">
        <w:rPr>
          <w:rFonts w:ascii="標楷體" w:eastAsia="標楷體" w:hAnsi="標楷體" w:cs="標楷體" w:hint="eastAsia"/>
          <w:kern w:val="2"/>
          <w:sz w:val="28"/>
        </w:rPr>
        <w:t>本所民政課、社會課、經建課、秘書室等單位。</w:t>
      </w:r>
    </w:p>
    <w:p w14:paraId="3ECB8654" w14:textId="77777777" w:rsidR="00ED253E" w:rsidRPr="00686B08" w:rsidRDefault="008C5768" w:rsidP="00686B08">
      <w:pPr>
        <w:pStyle w:val="a4"/>
        <w:numPr>
          <w:ilvl w:val="0"/>
          <w:numId w:val="34"/>
        </w:numPr>
        <w:spacing w:before="180" w:line="36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86B0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計畫內容</w:t>
      </w:r>
    </w:p>
    <w:tbl>
      <w:tblPr>
        <w:tblStyle w:val="a3"/>
        <w:tblpPr w:leftFromText="180" w:rightFromText="180" w:vertAnchor="text" w:horzAnchor="margin" w:tblpX="-431" w:tblpY="182"/>
        <w:tblW w:w="9782" w:type="dxa"/>
        <w:tblLook w:val="04A0" w:firstRow="1" w:lastRow="0" w:firstColumn="1" w:lastColumn="0" w:noHBand="0" w:noVBand="1"/>
      </w:tblPr>
      <w:tblGrid>
        <w:gridCol w:w="1673"/>
        <w:gridCol w:w="2410"/>
        <w:gridCol w:w="3709"/>
        <w:gridCol w:w="1990"/>
      </w:tblGrid>
      <w:tr w:rsidR="005D37E3" w:rsidRPr="00DC26D7" w14:paraId="63F771D4" w14:textId="77777777" w:rsidTr="005D37E3">
        <w:tc>
          <w:tcPr>
            <w:tcW w:w="4083" w:type="dxa"/>
            <w:gridSpan w:val="2"/>
            <w:vAlign w:val="center"/>
          </w:tcPr>
          <w:p w14:paraId="20ED14EA" w14:textId="77777777" w:rsidR="005D37E3" w:rsidRPr="00DC26D7" w:rsidRDefault="005D37E3" w:rsidP="005D37E3">
            <w:pPr>
              <w:spacing w:line="480" w:lineRule="exact"/>
              <w:ind w:leftChars="-163" w:left="-39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執行要領</w:t>
            </w:r>
          </w:p>
        </w:tc>
        <w:tc>
          <w:tcPr>
            <w:tcW w:w="3709" w:type="dxa"/>
            <w:vAlign w:val="center"/>
          </w:tcPr>
          <w:p w14:paraId="42482B07" w14:textId="77777777"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990" w:type="dxa"/>
          </w:tcPr>
          <w:p w14:paraId="65A77319" w14:textId="77777777" w:rsidR="005D37E3" w:rsidRPr="00DC26D7" w:rsidRDefault="004332F3" w:rsidP="005D37E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5D37E3" w:rsidRPr="00DC26D7" w14:paraId="3AE68B35" w14:textId="77777777" w:rsidTr="005D37E3">
        <w:tc>
          <w:tcPr>
            <w:tcW w:w="1673" w:type="dxa"/>
            <w:vMerge w:val="restart"/>
          </w:tcPr>
          <w:p w14:paraId="26D6B380" w14:textId="77777777" w:rsidR="005D37E3" w:rsidRPr="00DC26D7" w:rsidRDefault="005D37E3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410" w:type="dxa"/>
          </w:tcPr>
          <w:p w14:paraId="15B0F50B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一)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訂定機關年度提升服務品質計畫，具體規劃為民服務工作。</w:t>
            </w:r>
          </w:p>
        </w:tc>
        <w:tc>
          <w:tcPr>
            <w:tcW w:w="3709" w:type="dxa"/>
            <w:vAlign w:val="center"/>
          </w:tcPr>
          <w:p w14:paraId="40B55BAC" w14:textId="77777777" w:rsidR="005D37E3" w:rsidRPr="00DC26D7" w:rsidRDefault="004332F3" w:rsidP="005D3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32F3">
              <w:rPr>
                <w:rFonts w:ascii="標楷體" w:eastAsia="標楷體" w:hAnsi="標楷體" w:hint="eastAsia"/>
                <w:color w:val="000000" w:themeColor="text1"/>
              </w:rPr>
              <w:t>本所針對整體服務目標、能量、業務特性、民眾需求、資源配置情形及擬推動之重點工作，訂定提升服務品質執行計畫後公開於網站或公共場所，以落實提升為民服務品質工作。</w:t>
            </w:r>
          </w:p>
        </w:tc>
        <w:tc>
          <w:tcPr>
            <w:tcW w:w="1990" w:type="dxa"/>
          </w:tcPr>
          <w:p w14:paraId="088AA390" w14:textId="77777777" w:rsidR="001A6E93" w:rsidRDefault="001A6E93" w:rsidP="005871B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9B18921" w14:textId="77777777" w:rsidR="005D37E3" w:rsidRPr="00DC26D7" w:rsidRDefault="004332F3" w:rsidP="001A6E9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5D37E3" w:rsidRPr="00DC26D7" w14:paraId="7564EE1A" w14:textId="77777777" w:rsidTr="005D37E3">
        <w:trPr>
          <w:trHeight w:val="1760"/>
        </w:trPr>
        <w:tc>
          <w:tcPr>
            <w:tcW w:w="1673" w:type="dxa"/>
            <w:vMerge/>
          </w:tcPr>
          <w:p w14:paraId="39775063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14:paraId="3153C187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709" w:type="dxa"/>
          </w:tcPr>
          <w:p w14:paraId="75343088" w14:textId="77777777" w:rsidR="005D37E3" w:rsidRPr="00117761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117761">
              <w:rPr>
                <w:rFonts w:ascii="標楷體" w:eastAsia="標楷體" w:hAnsi="標楷體"/>
                <w:b/>
                <w:color w:val="000000" w:themeColor="text1"/>
              </w:rPr>
              <w:t>服務人員專業能力</w:t>
            </w:r>
          </w:p>
          <w:p w14:paraId="6E36BF19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應注重服務人員提供服務時的態度、行為及專業知識，確保服務人員能夠親切、主動的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服務。</w:t>
            </w:r>
          </w:p>
          <w:p w14:paraId="454E1F4A" w14:textId="77777777" w:rsidR="005D37E3" w:rsidRPr="00DC26D7" w:rsidRDefault="005D37E3" w:rsidP="005D37E3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並適時辦理研習，提升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專業能力以勝任服務工作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61132170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5F6B16F" w14:textId="77777777" w:rsidR="005D37E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5401D0CE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4B454BD" w14:textId="77777777" w:rsid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  <w:p w14:paraId="7523B1B2" w14:textId="77777777" w:rsidR="001A6E93" w:rsidRPr="001A6E93" w:rsidRDefault="001A6E93" w:rsidP="001A6E93">
            <w:pPr>
              <w:ind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4332F3" w:rsidRPr="00DC26D7" w14:paraId="4314E1F9" w14:textId="77777777" w:rsidTr="00E960FB">
        <w:trPr>
          <w:trHeight w:val="2570"/>
        </w:trPr>
        <w:tc>
          <w:tcPr>
            <w:tcW w:w="1673" w:type="dxa"/>
            <w:vMerge/>
          </w:tcPr>
          <w:p w14:paraId="3C0F3FC6" w14:textId="77777777"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300E7129" w14:textId="77777777"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351810C1" w14:textId="77777777"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2.定期檢討表單及作業流程</w:t>
            </w:r>
          </w:p>
          <w:p w14:paraId="7747944D" w14:textId="77777777"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定期檢查或檢討各項作業流程及申請表單，減併表單或減少民眾應檢附的文件種類，包括申請書（表）、同意書、授權書、證件正本、影本、謄本等。</w:t>
            </w:r>
          </w:p>
        </w:tc>
        <w:tc>
          <w:tcPr>
            <w:tcW w:w="1990" w:type="dxa"/>
          </w:tcPr>
          <w:p w14:paraId="10114629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1BD53DD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746E4E7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5C864C9" w14:textId="77777777" w:rsidR="004332F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  <w:p w14:paraId="03CF4EF6" w14:textId="77777777"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2F3" w:rsidRPr="00DC26D7" w14:paraId="7A77D969" w14:textId="77777777" w:rsidTr="00BC2CC0">
        <w:trPr>
          <w:trHeight w:val="2093"/>
        </w:trPr>
        <w:tc>
          <w:tcPr>
            <w:tcW w:w="1673" w:type="dxa"/>
            <w:vMerge/>
          </w:tcPr>
          <w:p w14:paraId="132DE68D" w14:textId="77777777" w:rsidR="004332F3" w:rsidRPr="00DC26D7" w:rsidRDefault="004332F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2F26193" w14:textId="77777777" w:rsidR="004332F3" w:rsidRPr="00DC26D7" w:rsidRDefault="004332F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79620A5" w14:textId="77777777" w:rsidR="004332F3" w:rsidRPr="00117761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17761">
              <w:rPr>
                <w:rFonts w:ascii="標楷體" w:eastAsia="標楷體" w:hAnsi="標楷體" w:hint="eastAsia"/>
                <w:b/>
                <w:color w:val="000000" w:themeColor="text1"/>
              </w:rPr>
              <w:t>3.訂立標準作業程序/SOP</w:t>
            </w:r>
          </w:p>
          <w:p w14:paraId="256EFE0F" w14:textId="77777777" w:rsidR="004332F3" w:rsidRPr="00DC26D7" w:rsidRDefault="004332F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訂立標準作業程序，包括流程說明及流程圖與核辦時限，登載於機關服務場所或網站，提供民眾申辦時參閱。</w:t>
            </w:r>
          </w:p>
        </w:tc>
        <w:tc>
          <w:tcPr>
            <w:tcW w:w="1990" w:type="dxa"/>
          </w:tcPr>
          <w:p w14:paraId="2E154E0E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260494E" w14:textId="77777777" w:rsid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2E8DD1F" w14:textId="77777777" w:rsidR="004332F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14:paraId="3ADF4778" w14:textId="77777777" w:rsidTr="005D37E3">
        <w:trPr>
          <w:trHeight w:val="274"/>
        </w:trPr>
        <w:tc>
          <w:tcPr>
            <w:tcW w:w="1673" w:type="dxa"/>
            <w:vMerge/>
          </w:tcPr>
          <w:p w14:paraId="62DC783E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EFDE054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709" w:type="dxa"/>
          </w:tcPr>
          <w:p w14:paraId="2C93CF62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1.臨櫃主動引導服務</w:t>
            </w:r>
          </w:p>
          <w:p w14:paraId="3D87A66A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1990" w:type="dxa"/>
          </w:tcPr>
          <w:p w14:paraId="1807F2BF" w14:textId="77777777" w:rsidR="005D37E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03F852BF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88B1631" w14:textId="77777777" w:rsidR="001A6E9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74038E46" w14:textId="77777777" w:rsidTr="005D37E3">
        <w:trPr>
          <w:trHeight w:val="198"/>
        </w:trPr>
        <w:tc>
          <w:tcPr>
            <w:tcW w:w="1673" w:type="dxa"/>
            <w:vMerge/>
          </w:tcPr>
          <w:p w14:paraId="22C58F2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01091E0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66B8EA48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2.一次完整服務</w:t>
            </w:r>
          </w:p>
          <w:p w14:paraId="5F00B6ED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</w:tc>
        <w:tc>
          <w:tcPr>
            <w:tcW w:w="1990" w:type="dxa"/>
          </w:tcPr>
          <w:p w14:paraId="39769C15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164EA062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616B7F67" w14:textId="77777777"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2087625A" w14:textId="77777777" w:rsidTr="005D37E3">
        <w:trPr>
          <w:trHeight w:val="198"/>
        </w:trPr>
        <w:tc>
          <w:tcPr>
            <w:tcW w:w="1673" w:type="dxa"/>
            <w:vMerge/>
          </w:tcPr>
          <w:p w14:paraId="4775F6EF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38F110F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28E24F1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3.服務問題系統化</w:t>
            </w:r>
          </w:p>
          <w:p w14:paraId="522C301B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提供為民服務諮詢及常見問題集(Q&amp;A、FAQ、範例)。</w:t>
            </w:r>
          </w:p>
        </w:tc>
        <w:tc>
          <w:tcPr>
            <w:tcW w:w="1990" w:type="dxa"/>
          </w:tcPr>
          <w:p w14:paraId="043E4DB6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6537E0AF" w14:textId="77777777" w:rsidR="001A6E93" w:rsidRPr="001A6E93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2BB381CD" w14:textId="77777777" w:rsidR="005D37E3" w:rsidRPr="00DC26D7" w:rsidRDefault="001A6E93" w:rsidP="001A6E9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09EAAD4B" w14:textId="77777777" w:rsidTr="005D37E3">
        <w:trPr>
          <w:trHeight w:val="198"/>
        </w:trPr>
        <w:tc>
          <w:tcPr>
            <w:tcW w:w="1673" w:type="dxa"/>
            <w:vMerge/>
          </w:tcPr>
          <w:p w14:paraId="04D4D81D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74737399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C26B516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4.提升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服務流程透明度</w:t>
            </w:r>
          </w:p>
          <w:p w14:paraId="43FDD440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受理案件後的處理及提供案件申請人查詢的情形，包括承辦訊息與處理進度的公開程度、查詢管道、回應情形等。</w:t>
            </w:r>
          </w:p>
        </w:tc>
        <w:tc>
          <w:tcPr>
            <w:tcW w:w="1990" w:type="dxa"/>
          </w:tcPr>
          <w:p w14:paraId="7BC46B1F" w14:textId="77777777"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94E763A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121A738D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1BCFB1F4" w14:textId="77777777"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376F5314" w14:textId="77777777" w:rsidTr="005D37E3">
        <w:trPr>
          <w:trHeight w:val="198"/>
        </w:trPr>
        <w:tc>
          <w:tcPr>
            <w:tcW w:w="1673" w:type="dxa"/>
            <w:vMerge/>
          </w:tcPr>
          <w:p w14:paraId="0B06CCF3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EF12A52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24F14D6E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5.公布標準作業流程</w:t>
            </w:r>
          </w:p>
          <w:p w14:paraId="58342CEE" w14:textId="77777777" w:rsidR="005D37E3" w:rsidRPr="00DC26D7" w:rsidRDefault="005D37E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於服務場所及機關網站（頁）提供服務資訊及標準作業流程，並主動告知申請人處理程序及辦理期限。</w:t>
            </w:r>
          </w:p>
        </w:tc>
        <w:tc>
          <w:tcPr>
            <w:tcW w:w="1990" w:type="dxa"/>
          </w:tcPr>
          <w:p w14:paraId="64AC9A99" w14:textId="77777777" w:rsidR="00A47DE0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CB3CE40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28FC51F5" w14:textId="77777777" w:rsidR="00A47DE0" w:rsidRPr="001A6E93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72E0DC46" w14:textId="77777777" w:rsidR="005D37E3" w:rsidRPr="00DC26D7" w:rsidRDefault="00A47DE0" w:rsidP="00A47DE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776BD3" w:rsidRPr="00DC26D7" w14:paraId="0B63BC2F" w14:textId="77777777" w:rsidTr="009136E5">
        <w:trPr>
          <w:trHeight w:val="2170"/>
        </w:trPr>
        <w:tc>
          <w:tcPr>
            <w:tcW w:w="1673" w:type="dxa"/>
            <w:vMerge/>
          </w:tcPr>
          <w:p w14:paraId="44D3049A" w14:textId="77777777" w:rsidR="00776BD3" w:rsidRPr="00DC26D7" w:rsidRDefault="00776BD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E6455B8" w14:textId="77777777" w:rsidR="00776BD3" w:rsidRPr="00DC26D7" w:rsidRDefault="00776BD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1A396284" w14:textId="77777777"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6.臨櫃申辦多元查詢管道</w:t>
            </w:r>
          </w:p>
          <w:p w14:paraId="2685205F" w14:textId="77777777" w:rsidR="00776BD3" w:rsidRPr="00DC26D7" w:rsidRDefault="00776BD3" w:rsidP="005D37E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提供受理案件多元查詢管道(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包含現場、電話、行動電話方便民眾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查詢。</w:t>
            </w:r>
          </w:p>
        </w:tc>
        <w:tc>
          <w:tcPr>
            <w:tcW w:w="1990" w:type="dxa"/>
          </w:tcPr>
          <w:p w14:paraId="5C379BC0" w14:textId="77777777" w:rsidR="00776BD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5EFA47" w14:textId="77777777"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42B4545A" w14:textId="77777777" w:rsidR="00776BD3" w:rsidRPr="001A6E93" w:rsidRDefault="00776BD3" w:rsidP="00E76616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1B14E361" w14:textId="77777777" w:rsidR="00776BD3" w:rsidRPr="00DC26D7" w:rsidRDefault="00776BD3" w:rsidP="00E41FC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A6E93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5D37E3" w:rsidRPr="00DC26D7" w14:paraId="5A019899" w14:textId="77777777" w:rsidTr="005D37E3">
        <w:trPr>
          <w:trHeight w:val="540"/>
        </w:trPr>
        <w:tc>
          <w:tcPr>
            <w:tcW w:w="1673" w:type="dxa"/>
            <w:vMerge/>
          </w:tcPr>
          <w:p w14:paraId="0C37168B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8688034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注重服務人員的禮貌態度，提高民眾臨櫃洽公或網站使用的便利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lastRenderedPageBreak/>
              <w:t>性，建置合宜的服務環境。</w:t>
            </w:r>
          </w:p>
        </w:tc>
        <w:tc>
          <w:tcPr>
            <w:tcW w:w="3709" w:type="dxa"/>
          </w:tcPr>
          <w:p w14:paraId="1C0B1D17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lastRenderedPageBreak/>
              <w:t>1.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注重服務禮貌</w:t>
            </w:r>
          </w:p>
          <w:p w14:paraId="7167B8CB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定期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辦理「電話服務品質及禮貌測試」。</w:t>
            </w:r>
          </w:p>
        </w:tc>
        <w:tc>
          <w:tcPr>
            <w:tcW w:w="1990" w:type="dxa"/>
          </w:tcPr>
          <w:p w14:paraId="332941DA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0D016A5" w14:textId="77777777" w:rsidR="005D37E3" w:rsidRPr="00E76616" w:rsidRDefault="00E76616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61BDACB0" w14:textId="77777777" w:rsidTr="005D37E3">
        <w:trPr>
          <w:trHeight w:val="540"/>
        </w:trPr>
        <w:tc>
          <w:tcPr>
            <w:tcW w:w="1673" w:type="dxa"/>
            <w:vMerge/>
          </w:tcPr>
          <w:p w14:paraId="0A480B9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8F04EF6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611D6F6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2.友善洽公環境</w:t>
            </w:r>
          </w:p>
          <w:p w14:paraId="7570598E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規劃友善節能洽公環境，妥適便捷服務動線，充實核心設施或一般設施(例如：申辦動線、書表填寫範例、雙語標示、停車空間、等候區、性別或無障礙設施等）</w:t>
            </w:r>
            <w:r w:rsidR="007A6B2B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設置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各項行政設備時，考量「環境友善行為」因素，彰顯環保作為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722893A5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19B512E9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2A332C2" w14:textId="77777777" w:rsidR="00D45267" w:rsidRDefault="00D45267" w:rsidP="00E76616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9DF2C91" w14:textId="77777777" w:rsidR="005D37E3" w:rsidRPr="00E76616" w:rsidRDefault="00E76616" w:rsidP="00D45267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E76616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71622935" w14:textId="77777777" w:rsidTr="005D37E3">
        <w:trPr>
          <w:trHeight w:val="540"/>
        </w:trPr>
        <w:tc>
          <w:tcPr>
            <w:tcW w:w="1673" w:type="dxa"/>
            <w:vMerge/>
          </w:tcPr>
          <w:p w14:paraId="4496B90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543FF67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CA9FA6A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3.定期維護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14:paraId="1FF8B935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每年至少辦理洽公環境設備檢查1次，適時更新改善。</w:t>
            </w:r>
          </w:p>
        </w:tc>
        <w:tc>
          <w:tcPr>
            <w:tcW w:w="1990" w:type="dxa"/>
          </w:tcPr>
          <w:p w14:paraId="23E5F41B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7D27F15" w14:textId="77777777"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5D37E3" w:rsidRPr="00DC26D7" w14:paraId="1E387BB3" w14:textId="77777777" w:rsidTr="005D37E3">
        <w:trPr>
          <w:trHeight w:val="1556"/>
        </w:trPr>
        <w:tc>
          <w:tcPr>
            <w:tcW w:w="1673" w:type="dxa"/>
            <w:vMerge/>
          </w:tcPr>
          <w:p w14:paraId="5DD3DBA0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239D6F41" w14:textId="77777777" w:rsidR="005D37E3" w:rsidRPr="00DC26D7" w:rsidRDefault="005D37E3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709" w:type="dxa"/>
          </w:tcPr>
          <w:p w14:paraId="69C1DA31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1.免費網路服務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14:paraId="4CDC71E0" w14:textId="77777777" w:rsidR="005D37E3" w:rsidRPr="00DC26D7" w:rsidRDefault="005D37E3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「行政院及所屬各機關（構）辦理無線上網服務永續發展作業原則」提供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(i-Taiwan免費上網)服務。</w:t>
            </w:r>
          </w:p>
        </w:tc>
        <w:tc>
          <w:tcPr>
            <w:tcW w:w="1990" w:type="dxa"/>
          </w:tcPr>
          <w:p w14:paraId="400983AE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80D73DE" w14:textId="77777777" w:rsid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722D454" w14:textId="77777777" w:rsidR="005D37E3" w:rsidRPr="00D45267" w:rsidRDefault="00D45267" w:rsidP="00D45267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7A6B2B" w:rsidRPr="00DC26D7" w14:paraId="2027AB7D" w14:textId="77777777" w:rsidTr="007A6B2B">
        <w:trPr>
          <w:trHeight w:val="1335"/>
        </w:trPr>
        <w:tc>
          <w:tcPr>
            <w:tcW w:w="1673" w:type="dxa"/>
            <w:vMerge/>
          </w:tcPr>
          <w:p w14:paraId="77EE4C0E" w14:textId="77777777" w:rsidR="007A6B2B" w:rsidRPr="00DC26D7" w:rsidRDefault="007A6B2B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BE8A09D" w14:textId="77777777" w:rsidR="007A6B2B" w:rsidRPr="00DC26D7" w:rsidRDefault="007A6B2B" w:rsidP="005D37E3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76664D52" w14:textId="77777777" w:rsidR="007A6B2B" w:rsidRPr="00DC26D7" w:rsidRDefault="007A6B2B" w:rsidP="005D37E3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進行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標竿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學習</w:t>
            </w:r>
          </w:p>
          <w:p w14:paraId="4DB13C06" w14:textId="77777777" w:rsidR="007A6B2B" w:rsidRPr="00DC26D7" w:rsidRDefault="007A6B2B" w:rsidP="00F710B5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積極參與「政府服務獎」評獎，藉由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參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獎自我努力及學習。</w:t>
            </w:r>
          </w:p>
        </w:tc>
        <w:tc>
          <w:tcPr>
            <w:tcW w:w="1990" w:type="dxa"/>
          </w:tcPr>
          <w:p w14:paraId="23588820" w14:textId="77777777" w:rsid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166AF437" w14:textId="77777777" w:rsidR="007A6B2B" w:rsidRPr="00D45267" w:rsidRDefault="00D45267" w:rsidP="00D45267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D4526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秘書室</w:t>
            </w:r>
          </w:p>
        </w:tc>
      </w:tr>
      <w:tr w:rsidR="009B6C24" w:rsidRPr="00DC26D7" w14:paraId="21639A94" w14:textId="77777777" w:rsidTr="004058F0">
        <w:trPr>
          <w:trHeight w:val="1800"/>
        </w:trPr>
        <w:tc>
          <w:tcPr>
            <w:tcW w:w="1673" w:type="dxa"/>
            <w:vMerge w:val="restart"/>
          </w:tcPr>
          <w:p w14:paraId="2CEA9528" w14:textId="77777777"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14:paraId="3E68E298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8C9AA7F" w14:textId="77777777"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709" w:type="dxa"/>
          </w:tcPr>
          <w:p w14:paraId="4B9EBCB4" w14:textId="77777777"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建置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民眾參與多元管道</w:t>
            </w:r>
          </w:p>
          <w:p w14:paraId="23BA14D1" w14:textId="77777777" w:rsidR="009B6C24" w:rsidRPr="00DC26D7" w:rsidRDefault="009B6C24" w:rsidP="005D37E3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建置民眾建言多元管道，包含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首長信箱、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座談會、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里民會報、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公民參與。</w:t>
            </w:r>
          </w:p>
        </w:tc>
        <w:tc>
          <w:tcPr>
            <w:tcW w:w="1990" w:type="dxa"/>
          </w:tcPr>
          <w:p w14:paraId="34BD5E15" w14:textId="77777777"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5FCF2265" w14:textId="77777777" w:rsid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14:paraId="28676392" w14:textId="77777777" w:rsidR="009B6C24" w:rsidRPr="000B76FE" w:rsidRDefault="000B76FE" w:rsidP="000B76FE">
            <w:pPr>
              <w:pStyle w:val="a9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9B6C24" w:rsidRPr="00DC26D7" w14:paraId="09314FCF" w14:textId="77777777" w:rsidTr="005D37E3">
        <w:tc>
          <w:tcPr>
            <w:tcW w:w="1673" w:type="dxa"/>
            <w:vMerge/>
          </w:tcPr>
          <w:p w14:paraId="052DDEA2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4BC2AF8A" w14:textId="77777777" w:rsidR="009B6C24" w:rsidRPr="00DC26D7" w:rsidRDefault="009B6C24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善用各類意見調查工具與機制，蒐集民眾對服務的需求或建議，適予調整服務措施。</w:t>
            </w:r>
          </w:p>
        </w:tc>
        <w:tc>
          <w:tcPr>
            <w:tcW w:w="3709" w:type="dxa"/>
          </w:tcPr>
          <w:p w14:paraId="06D50DF0" w14:textId="77777777"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1.輿情</w:t>
            </w: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回應機制</w:t>
            </w:r>
          </w:p>
          <w:p w14:paraId="36846AA2" w14:textId="77777777" w:rsidR="009B6C24" w:rsidRPr="00DC26D7" w:rsidRDefault="009B6C24" w:rsidP="005D37E3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針對民眾意見、抱怨及新聞輿情，設有相關的回應機制，妥善因應掌握回應時效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10FB9668" w14:textId="77777777"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EC5C72F" w14:textId="77777777" w:rsid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47720C8" w14:textId="77777777" w:rsidR="009B6C24" w:rsidRPr="000B76FE" w:rsidRDefault="000B76FE" w:rsidP="000B76FE">
            <w:pPr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76FE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9B6C24" w:rsidRPr="00DC26D7" w14:paraId="29A9C7C2" w14:textId="77777777" w:rsidTr="009B6C24">
        <w:trPr>
          <w:trHeight w:val="1833"/>
        </w:trPr>
        <w:tc>
          <w:tcPr>
            <w:tcW w:w="1673" w:type="dxa"/>
            <w:vMerge/>
          </w:tcPr>
          <w:p w14:paraId="43CF5FB0" w14:textId="77777777" w:rsidR="009B6C24" w:rsidRPr="00DC26D7" w:rsidRDefault="009B6C2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596B237" w14:textId="77777777" w:rsidR="009B6C24" w:rsidRPr="00DC26D7" w:rsidRDefault="009B6C2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013FA234" w14:textId="77777777" w:rsidR="009B6C24" w:rsidRPr="00DC26D7" w:rsidRDefault="009B6C2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2.常見問題集（FAQ）</w:t>
            </w:r>
          </w:p>
          <w:p w14:paraId="013E5D8A" w14:textId="77777777" w:rsidR="009B6C24" w:rsidRPr="00DC26D7" w:rsidRDefault="009B6C24" w:rsidP="009B6C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990" w:type="dxa"/>
          </w:tcPr>
          <w:p w14:paraId="509736E6" w14:textId="77777777"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5421EAA2" w14:textId="77777777" w:rsid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3433289C" w14:textId="77777777" w:rsidR="009B6C24" w:rsidRPr="000B76FE" w:rsidRDefault="000B76FE" w:rsidP="000B76FE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0B76FE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5D37E3" w:rsidRPr="00DC26D7" w14:paraId="714DAF23" w14:textId="77777777" w:rsidTr="005D37E3">
        <w:trPr>
          <w:trHeight w:val="1139"/>
        </w:trPr>
        <w:tc>
          <w:tcPr>
            <w:tcW w:w="1673" w:type="dxa"/>
            <w:vMerge/>
          </w:tcPr>
          <w:p w14:paraId="71612435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36B6F114" w14:textId="77777777"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3709" w:type="dxa"/>
          </w:tcPr>
          <w:p w14:paraId="234B4E6E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陳情管道多元化</w:t>
            </w:r>
          </w:p>
          <w:p w14:paraId="1B0C945A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強化機關陳情管道、線上即時陳情服務系統或</w:t>
            </w:r>
            <w:r w:rsidR="009B6C24"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等功能，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針對陳情案積極回應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4CA3F19F" w14:textId="77777777" w:rsid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879520E" w14:textId="77777777" w:rsidR="005D37E3" w:rsidRPr="003B4B55" w:rsidRDefault="003B4B55" w:rsidP="003B4B55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4B55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5D37E3" w:rsidRPr="00DC26D7" w14:paraId="7C9CF887" w14:textId="77777777" w:rsidTr="005D37E3">
        <w:trPr>
          <w:trHeight w:val="450"/>
        </w:trPr>
        <w:tc>
          <w:tcPr>
            <w:tcW w:w="1673" w:type="dxa"/>
            <w:vMerge/>
          </w:tcPr>
          <w:p w14:paraId="4C44B991" w14:textId="77777777" w:rsidR="005D37E3" w:rsidRPr="00DC26D7" w:rsidRDefault="005D37E3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38FC03A" w14:textId="77777777" w:rsidR="005D37E3" w:rsidRPr="00DC26D7" w:rsidRDefault="005D37E3" w:rsidP="005D37E3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</w:tcPr>
          <w:p w14:paraId="3CCE2EA9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建立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處理標準程序</w:t>
            </w:r>
          </w:p>
          <w:p w14:paraId="4CE0EF12" w14:textId="77777777" w:rsidR="005D37E3" w:rsidRPr="00DC26D7" w:rsidRDefault="005D37E3" w:rsidP="005D37E3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依據行政程序法(168-173條)及「高雄市政府及所屬機關處理人民陳情案件要點」訂定人民陳情案件處理之相關作業規定，並管考回覆時限。</w:t>
            </w:r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建立各陳情管道之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SOP、受理案件處理分析及回覆流程。</w:t>
            </w:r>
          </w:p>
        </w:tc>
        <w:tc>
          <w:tcPr>
            <w:tcW w:w="1990" w:type="dxa"/>
          </w:tcPr>
          <w:p w14:paraId="6C407208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F639DB4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BA60BE3" w14:textId="77777777" w:rsid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C22C2EE" w14:textId="77777777" w:rsidR="005D37E3" w:rsidRPr="009F3122" w:rsidRDefault="009F3122" w:rsidP="009F3122">
            <w:pPr>
              <w:ind w:right="-28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C05E4" w:rsidRPr="00DC26D7" w14:paraId="0BC66498" w14:textId="77777777" w:rsidTr="00E41FC2">
        <w:trPr>
          <w:trHeight w:val="1920"/>
        </w:trPr>
        <w:tc>
          <w:tcPr>
            <w:tcW w:w="1673" w:type="dxa"/>
            <w:vMerge w:val="restart"/>
          </w:tcPr>
          <w:p w14:paraId="2CF74B9B" w14:textId="77777777" w:rsidR="00EC05E4" w:rsidRPr="00B14FCD" w:rsidRDefault="00EC05E4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三.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410" w:type="dxa"/>
          </w:tcPr>
          <w:p w14:paraId="261C36D4" w14:textId="77777777" w:rsidR="00EC05E4" w:rsidRPr="00B14FCD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 xml:space="preserve">減除申辦案件所需檢附之書表謄本，提高業務申辦便捷度。 </w:t>
            </w:r>
          </w:p>
        </w:tc>
        <w:tc>
          <w:tcPr>
            <w:tcW w:w="3709" w:type="dxa"/>
          </w:tcPr>
          <w:p w14:paraId="23701B5D" w14:textId="77777777" w:rsidR="00EC05E4" w:rsidRPr="00DC26D7" w:rsidRDefault="00EC05E4" w:rsidP="005D37E3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節能便民服務</w:t>
            </w:r>
          </w:p>
          <w:p w14:paraId="1ED6890B" w14:textId="77777777" w:rsidR="00EC05E4" w:rsidRPr="00DC26D7" w:rsidRDefault="00EC05E4" w:rsidP="00EC05E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37E3C">
              <w:rPr>
                <w:rFonts w:ascii="標楷體" w:eastAsia="標楷體" w:hAnsi="標楷體" w:cs="標楷體" w:hint="eastAsia"/>
              </w:rPr>
              <w:t>推動機關辦理案件過程減少附送之紙本書表、證件、謄本數量，以免除民眾在機關間往返奔波</w:t>
            </w:r>
            <w:r w:rsidRPr="00537E3C">
              <w:rPr>
                <w:rFonts w:ascii="標楷體" w:eastAsia="標楷體" w:hAnsi="標楷體" w:cs="標楷體" w:hint="eastAsia"/>
                <w:color w:val="000000"/>
              </w:rPr>
              <w:t>、不便民的重覆申辦程序。</w:t>
            </w:r>
          </w:p>
        </w:tc>
        <w:tc>
          <w:tcPr>
            <w:tcW w:w="1990" w:type="dxa"/>
          </w:tcPr>
          <w:p w14:paraId="27541EB3" w14:textId="77777777" w:rsid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12A793D" w14:textId="77777777" w:rsidR="00EC05E4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357A0C8D" w14:textId="77777777" w:rsidR="009F3122" w:rsidRPr="009F3122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26404C93" w14:textId="77777777" w:rsidR="009F3122" w:rsidRPr="00DC26D7" w:rsidRDefault="009F3122" w:rsidP="009F312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C05E4" w:rsidRPr="00DC26D7" w14:paraId="0CB684EF" w14:textId="77777777" w:rsidTr="00B74040">
        <w:trPr>
          <w:trHeight w:val="2160"/>
        </w:trPr>
        <w:tc>
          <w:tcPr>
            <w:tcW w:w="1673" w:type="dxa"/>
            <w:vMerge/>
          </w:tcPr>
          <w:p w14:paraId="550DCFBE" w14:textId="77777777" w:rsidR="00EC05E4" w:rsidRPr="00DC26D7" w:rsidRDefault="00EC05E4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DE79287" w14:textId="77777777" w:rsidR="00EC05E4" w:rsidRPr="00DC26D7" w:rsidRDefault="00EC05E4" w:rsidP="005D37E3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709" w:type="dxa"/>
          </w:tcPr>
          <w:p w14:paraId="07ED0B1B" w14:textId="77777777"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多元網路參與管道</w:t>
            </w:r>
          </w:p>
          <w:p w14:paraId="2BCFB7EB" w14:textId="77777777" w:rsidR="00EC05E4" w:rsidRPr="00DC26D7" w:rsidRDefault="00EC05E4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留言板、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區長信箱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等，供民眾反映意見。</w:t>
            </w:r>
            <w:r w:rsidR="006314A5">
              <w:rPr>
                <w:rFonts w:ascii="標楷體" w:eastAsia="標楷體" w:hAnsi="標楷體" w:hint="eastAsia"/>
                <w:color w:val="000000" w:themeColor="text1"/>
              </w:rPr>
              <w:t>另連結至「高雄市政府全球資訊網」提供民眾友善網路溝通環境。</w:t>
            </w:r>
          </w:p>
        </w:tc>
        <w:tc>
          <w:tcPr>
            <w:tcW w:w="1990" w:type="dxa"/>
          </w:tcPr>
          <w:p w14:paraId="5ACF732F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382B07B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7B959CB" w14:textId="77777777" w:rsidR="00EC05E4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D713A" w:rsidRPr="00DC26D7" w14:paraId="3B2A1F79" w14:textId="77777777" w:rsidTr="00E65788">
        <w:trPr>
          <w:trHeight w:val="2360"/>
        </w:trPr>
        <w:tc>
          <w:tcPr>
            <w:tcW w:w="1673" w:type="dxa"/>
            <w:vMerge w:val="restart"/>
          </w:tcPr>
          <w:p w14:paraId="5116838A" w14:textId="77777777" w:rsidR="00ED713A" w:rsidRPr="00DC26D7" w:rsidRDefault="00ED713A" w:rsidP="005D37E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14:paraId="67C1203E" w14:textId="77777777"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FEE5ED" w14:textId="77777777"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709" w:type="dxa"/>
          </w:tcPr>
          <w:p w14:paraId="2BC7BB85" w14:textId="77777777" w:rsidR="00ED713A" w:rsidRPr="00DC26D7" w:rsidRDefault="00ED713A" w:rsidP="005D37E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分眾服務設施</w:t>
            </w:r>
          </w:p>
          <w:p w14:paraId="2871B210" w14:textId="77777777" w:rsidR="00ED713A" w:rsidRPr="00DC26D7" w:rsidRDefault="00ED713A" w:rsidP="005D37E3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D713A">
              <w:rPr>
                <w:rFonts w:ascii="標楷體" w:eastAsia="標楷體" w:hAnsi="標楷體" w:cs="標楷體" w:hint="eastAsia"/>
                <w:color w:val="000000"/>
                <w:szCs w:val="24"/>
              </w:rPr>
              <w:t>針對銀髮族、行動不便居民及弱勢族群，著力於防救災資、社會救助、居家照護、福利申請等透過基層服務人員完成最後一鄰服務遞送，讓為民服務零落差。</w:t>
            </w:r>
          </w:p>
        </w:tc>
        <w:tc>
          <w:tcPr>
            <w:tcW w:w="1990" w:type="dxa"/>
          </w:tcPr>
          <w:p w14:paraId="2CC8D400" w14:textId="77777777" w:rsid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F79C2B7" w14:textId="77777777" w:rsidR="00ED713A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6D2FC197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5C22B943" w14:textId="77777777" w:rsidR="009F3122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ED713A" w:rsidRPr="00DC26D7" w14:paraId="7A3CD15E" w14:textId="77777777" w:rsidTr="00C54196">
        <w:trPr>
          <w:trHeight w:val="1080"/>
        </w:trPr>
        <w:tc>
          <w:tcPr>
            <w:tcW w:w="1673" w:type="dxa"/>
            <w:vMerge/>
          </w:tcPr>
          <w:p w14:paraId="5A064085" w14:textId="77777777" w:rsidR="00ED713A" w:rsidRPr="00DC26D7" w:rsidRDefault="00ED713A" w:rsidP="005D37E3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CE606CF" w14:textId="77777777" w:rsidR="00ED713A" w:rsidRPr="00DC26D7" w:rsidRDefault="00ED713A" w:rsidP="005D37E3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提高偏遠或交通不便地區民眾的服務可近性。</w:t>
            </w:r>
          </w:p>
        </w:tc>
        <w:tc>
          <w:tcPr>
            <w:tcW w:w="3709" w:type="dxa"/>
          </w:tcPr>
          <w:p w14:paraId="5F9FFA88" w14:textId="77777777"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提供弱勢族群適性服務</w:t>
            </w:r>
          </w:p>
          <w:p w14:paraId="175B0A40" w14:textId="77777777" w:rsidR="00ED713A" w:rsidRPr="00ED713A" w:rsidRDefault="00ED713A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D713A">
              <w:rPr>
                <w:rFonts w:ascii="標楷體" w:eastAsia="標楷體" w:hAnsi="標楷體" w:cs="新細明體" w:hint="eastAsia"/>
                <w:color w:val="000000" w:themeColor="text1"/>
              </w:rPr>
              <w:t>針對特殊或弱勢族群、交通不便地區民眾提供到點服務。</w:t>
            </w:r>
          </w:p>
        </w:tc>
        <w:tc>
          <w:tcPr>
            <w:tcW w:w="1990" w:type="dxa"/>
          </w:tcPr>
          <w:p w14:paraId="1AA500BC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14:paraId="4719EAB6" w14:textId="77777777" w:rsidR="009F3122" w:rsidRPr="009F3122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14:paraId="484E2DB8" w14:textId="77777777" w:rsidR="00ED713A" w:rsidRPr="00DC26D7" w:rsidRDefault="009F3122" w:rsidP="009F312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9F3122">
              <w:rPr>
                <w:rFonts w:ascii="標楷體" w:eastAsia="標楷體" w:hAnsi="標楷體" w:hint="eastAsia"/>
                <w:color w:val="000000" w:themeColor="text1"/>
              </w:rPr>
              <w:t>經建課</w:t>
            </w:r>
          </w:p>
        </w:tc>
      </w:tr>
      <w:tr w:rsidR="00005B53" w:rsidRPr="00DC26D7" w14:paraId="3C21852B" w14:textId="77777777" w:rsidTr="00EF5382">
        <w:trPr>
          <w:trHeight w:val="3240"/>
        </w:trPr>
        <w:tc>
          <w:tcPr>
            <w:tcW w:w="1673" w:type="dxa"/>
            <w:vMerge w:val="restart"/>
          </w:tcPr>
          <w:p w14:paraId="0A390813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410" w:type="dxa"/>
            <w:vMerge w:val="restart"/>
          </w:tcPr>
          <w:p w14:paraId="48F77D5F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709" w:type="dxa"/>
          </w:tcPr>
          <w:p w14:paraId="59916F64" w14:textId="77777777"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1.服務資訊主動公開</w:t>
            </w:r>
          </w:p>
          <w:p w14:paraId="3B6B2CEA" w14:textId="77777777" w:rsidR="00005B53" w:rsidRPr="00DC26D7" w:rsidRDefault="00005B53" w:rsidP="00ED713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主動公開與組織職責及服務措施等相關資訊，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包括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「政府資訊公開法」第7條所定應主動公開之政府資訊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基本資料、法令、核心政策、服務措施及預決算情形等重要資訊，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機關對外提供之文件可編輯者應包含ODF文書格式非可編輯者，採用PDF文書格式。</w:t>
            </w:r>
          </w:p>
        </w:tc>
        <w:tc>
          <w:tcPr>
            <w:tcW w:w="1990" w:type="dxa"/>
          </w:tcPr>
          <w:p w14:paraId="19A6E1D4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2324D2B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EC74B94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EAB4841" w14:textId="77777777" w:rsid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FFB723" w14:textId="77777777" w:rsidR="00005B53" w:rsidRPr="00B41B18" w:rsidRDefault="00B41B18" w:rsidP="00B41B18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B18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005B53" w:rsidRPr="00DC26D7" w14:paraId="1B6121D3" w14:textId="77777777" w:rsidTr="005D37E3">
        <w:trPr>
          <w:trHeight w:val="100"/>
        </w:trPr>
        <w:tc>
          <w:tcPr>
            <w:tcW w:w="1673" w:type="dxa"/>
            <w:vMerge/>
          </w:tcPr>
          <w:p w14:paraId="6CFE9916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7E43D25B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0AE9E685" w14:textId="77777777" w:rsidR="00005B53" w:rsidRPr="00DC26D7" w:rsidRDefault="00005B53" w:rsidP="00ED713A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.網站資料連結正確性</w:t>
            </w:r>
          </w:p>
          <w:p w14:paraId="4A3D40BA" w14:textId="77777777" w:rsidR="00005B53" w:rsidRPr="00DC26D7" w:rsidRDefault="00005B53" w:rsidP="00ED713A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訂定網站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、網頁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資料定期更新規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lastRenderedPageBreak/>
              <w:t>定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積極維護網站（頁）資訊，避免有錯誤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過期資訊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或超連結無效等情形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990" w:type="dxa"/>
          </w:tcPr>
          <w:p w14:paraId="2AE8F331" w14:textId="77777777"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45C66D8D" w14:textId="77777777" w:rsid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68659063" w14:textId="77777777" w:rsidR="00005B53" w:rsidRPr="00B41B18" w:rsidRDefault="00B41B18" w:rsidP="00B41B18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秘書室</w:t>
            </w:r>
          </w:p>
        </w:tc>
      </w:tr>
      <w:tr w:rsidR="00005B53" w:rsidRPr="00DC26D7" w14:paraId="6DD2F17D" w14:textId="77777777" w:rsidTr="001C4363">
        <w:trPr>
          <w:trHeight w:val="1440"/>
        </w:trPr>
        <w:tc>
          <w:tcPr>
            <w:tcW w:w="1673" w:type="dxa"/>
            <w:vMerge/>
          </w:tcPr>
          <w:p w14:paraId="785B58CA" w14:textId="77777777" w:rsidR="00005B53" w:rsidRPr="00DC26D7" w:rsidRDefault="00005B53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36A45FA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09" w:type="dxa"/>
            <w:vAlign w:val="center"/>
          </w:tcPr>
          <w:p w14:paraId="7F0B66C0" w14:textId="77777777" w:rsidR="00005B53" w:rsidRPr="00DC26D7" w:rsidRDefault="00005B53" w:rsidP="00ED713A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</w:t>
            </w: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.無障礙網站認證</w:t>
            </w:r>
          </w:p>
          <w:p w14:paraId="7371D945" w14:textId="77777777" w:rsidR="00005B53" w:rsidRPr="00DC26D7" w:rsidRDefault="00832BCD" w:rsidP="00005B5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機關網站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符合「身心障礙者權益保障法」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之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要求，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並</w:t>
            </w:r>
            <w:r w:rsidR="00005B53" w:rsidRPr="00DC26D7">
              <w:rPr>
                <w:rFonts w:ascii="標楷體" w:eastAsia="標楷體" w:hAnsi="標楷體" w:cs="新細明體" w:hint="eastAsia"/>
                <w:color w:val="000000" w:themeColor="text1"/>
              </w:rPr>
              <w:t>取得認證標章。</w:t>
            </w:r>
          </w:p>
        </w:tc>
        <w:tc>
          <w:tcPr>
            <w:tcW w:w="1990" w:type="dxa"/>
          </w:tcPr>
          <w:p w14:paraId="71A92047" w14:textId="77777777" w:rsidR="00B41B18" w:rsidRDefault="00B41B18" w:rsidP="00B41B18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  <w:p w14:paraId="00483982" w14:textId="77777777" w:rsidR="00005B53" w:rsidRPr="00DC26D7" w:rsidRDefault="00B41B18" w:rsidP="00B41B18">
            <w:pPr>
              <w:ind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B41B18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005B53" w:rsidRPr="00DC26D7" w14:paraId="37B52116" w14:textId="77777777" w:rsidTr="00350711">
        <w:trPr>
          <w:trHeight w:val="2160"/>
        </w:trPr>
        <w:tc>
          <w:tcPr>
            <w:tcW w:w="1673" w:type="dxa"/>
            <w:vMerge/>
          </w:tcPr>
          <w:p w14:paraId="50872A44" w14:textId="77777777" w:rsidR="00005B53" w:rsidRPr="00DC26D7" w:rsidRDefault="00005B53" w:rsidP="00ED713A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6D6378" w14:textId="77777777" w:rsidR="00005B53" w:rsidRPr="00DC26D7" w:rsidRDefault="00005B53" w:rsidP="00ED713A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3709" w:type="dxa"/>
          </w:tcPr>
          <w:p w14:paraId="3B8DDA98" w14:textId="77777777" w:rsidR="00005B53" w:rsidRPr="00DC26D7" w:rsidRDefault="00005B53" w:rsidP="00ED713A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DC26D7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落實分層負責，簡政便民</w:t>
            </w:r>
          </w:p>
          <w:p w14:paraId="4C07D78E" w14:textId="77777777" w:rsidR="00005B53" w:rsidRPr="00DC26D7" w:rsidRDefault="00005B53" w:rsidP="004F3250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005B53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積極運用法令鬆綁、流程再造、引進民間資源、資訊科技應用等工具，規劃創新的措施解決服務問題，提升行政效能。</w:t>
            </w:r>
          </w:p>
        </w:tc>
        <w:tc>
          <w:tcPr>
            <w:tcW w:w="1990" w:type="dxa"/>
          </w:tcPr>
          <w:p w14:paraId="63E5305C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14:paraId="6A7D2817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</w:p>
          <w:p w14:paraId="5E77DF0F" w14:textId="77777777" w:rsidR="00005B53" w:rsidRP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492B0C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各課室</w:t>
            </w:r>
          </w:p>
        </w:tc>
      </w:tr>
      <w:tr w:rsidR="000B46CD" w:rsidRPr="00DC26D7" w14:paraId="1271908F" w14:textId="77777777" w:rsidTr="00FB227C">
        <w:trPr>
          <w:trHeight w:val="1720"/>
        </w:trPr>
        <w:tc>
          <w:tcPr>
            <w:tcW w:w="1673" w:type="dxa"/>
            <w:vMerge w:val="restart"/>
          </w:tcPr>
          <w:p w14:paraId="3AC30C47" w14:textId="77777777" w:rsidR="000B46CD" w:rsidRPr="00DC26D7" w:rsidRDefault="000B46CD" w:rsidP="00ED713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410" w:type="dxa"/>
          </w:tcPr>
          <w:p w14:paraId="67BADDFA" w14:textId="77777777"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主動發掘關鍵議題，前瞻規劃服務策略預為因應。</w:t>
            </w:r>
          </w:p>
        </w:tc>
        <w:tc>
          <w:tcPr>
            <w:tcW w:w="3709" w:type="dxa"/>
          </w:tcPr>
          <w:p w14:paraId="06E2A607" w14:textId="77777777" w:rsidR="000B46CD" w:rsidRPr="00A765EA" w:rsidRDefault="000B46CD" w:rsidP="00ED713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0B46CD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透過民眾需求規劃服務政策或措施，進行服務項目創新與改造。</w:t>
            </w:r>
          </w:p>
        </w:tc>
        <w:tc>
          <w:tcPr>
            <w:tcW w:w="1990" w:type="dxa"/>
          </w:tcPr>
          <w:p w14:paraId="400804BA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14:paraId="0EAA3787" w14:textId="77777777" w:rsidR="00492B0C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</w:p>
          <w:p w14:paraId="3320F55C" w14:textId="77777777" w:rsidR="000B46CD" w:rsidRPr="003B0224" w:rsidRDefault="00492B0C" w:rsidP="00492B0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各課室</w:t>
            </w:r>
          </w:p>
        </w:tc>
      </w:tr>
      <w:tr w:rsidR="000B46CD" w:rsidRPr="00DC26D7" w14:paraId="1AF685BC" w14:textId="77777777" w:rsidTr="00BC4786">
        <w:trPr>
          <w:trHeight w:val="2170"/>
        </w:trPr>
        <w:tc>
          <w:tcPr>
            <w:tcW w:w="1673" w:type="dxa"/>
            <w:vMerge/>
          </w:tcPr>
          <w:p w14:paraId="29C37207" w14:textId="77777777" w:rsidR="000B46CD" w:rsidRPr="00DC26D7" w:rsidRDefault="000B46CD" w:rsidP="00ED713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49FA333C" w14:textId="77777777" w:rsidR="000B46CD" w:rsidRPr="00DC26D7" w:rsidRDefault="000B46CD" w:rsidP="00ED713A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709" w:type="dxa"/>
          </w:tcPr>
          <w:p w14:paraId="1E8C6395" w14:textId="77777777" w:rsidR="000B46CD" w:rsidRPr="00DC26D7" w:rsidRDefault="000B46CD" w:rsidP="00ED713A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b/>
                <w:color w:val="000000" w:themeColor="text1"/>
              </w:rPr>
              <w:t>結合社會資源</w:t>
            </w:r>
          </w:p>
          <w:p w14:paraId="0AD51C5B" w14:textId="77777777" w:rsidR="000B46CD" w:rsidRPr="00DC26D7" w:rsidRDefault="006314A5" w:rsidP="00ED713A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運用志工服務</w:t>
            </w:r>
            <w:r w:rsidR="00AC4396">
              <w:rPr>
                <w:rFonts w:ascii="標楷體" w:eastAsia="標楷體" w:hAnsi="標楷體" w:hint="eastAsia"/>
                <w:color w:val="000000" w:themeColor="text1"/>
              </w:rPr>
              <w:t>結合民間團體並建立社區夥伴關係，</w:t>
            </w:r>
            <w:r w:rsidR="000B46CD" w:rsidRPr="000B46CD">
              <w:rPr>
                <w:rFonts w:ascii="標楷體" w:eastAsia="標楷體" w:hAnsi="標楷體" w:hint="eastAsia"/>
                <w:color w:val="000000" w:themeColor="text1"/>
              </w:rPr>
              <w:t>善用企業、民間團體通路、據點、人力、資源及財源來補強政府資源之不足，並達到機關、企業、民眾三贏局面。</w:t>
            </w:r>
          </w:p>
        </w:tc>
        <w:tc>
          <w:tcPr>
            <w:tcW w:w="1990" w:type="dxa"/>
          </w:tcPr>
          <w:p w14:paraId="2CAD7EA4" w14:textId="77777777"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6E01A2B" w14:textId="77777777" w:rsid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58AD21" w14:textId="77777777" w:rsidR="000B46CD" w:rsidRPr="003912E6" w:rsidRDefault="003912E6" w:rsidP="003912E6">
            <w:pPr>
              <w:ind w:left="6" w:right="32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2E6"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</w:tbl>
    <w:p w14:paraId="7E75405B" w14:textId="77777777" w:rsidR="00A840AB" w:rsidRPr="00A840AB" w:rsidRDefault="00A840AB" w:rsidP="00A840AB">
      <w:pPr>
        <w:suppressAutoHyphens w:val="0"/>
        <w:autoSpaceDN/>
        <w:spacing w:beforeLines="50" w:before="180" w:line="400" w:lineRule="exact"/>
        <w:jc w:val="both"/>
        <w:textAlignment w:val="auto"/>
        <w:rPr>
          <w:rFonts w:ascii="標楷體" w:eastAsia="標楷體" w:hAnsi="標楷體" w:cs="標楷體"/>
          <w:b/>
          <w:kern w:val="2"/>
          <w:sz w:val="28"/>
        </w:rPr>
      </w:pPr>
      <w:r w:rsidRPr="00A840AB">
        <w:rPr>
          <w:rFonts w:ascii="標楷體" w:eastAsia="標楷體" w:hAnsi="標楷體" w:cs="標楷體" w:hint="eastAsia"/>
          <w:b/>
          <w:kern w:val="2"/>
          <w:sz w:val="28"/>
        </w:rPr>
        <w:t>伍、管制考核：</w:t>
      </w:r>
    </w:p>
    <w:p w14:paraId="7332D2B3" w14:textId="77777777" w:rsidR="00F47C53" w:rsidRPr="00736F07" w:rsidRDefault="00F47C53" w:rsidP="00F47C53">
      <w:pPr>
        <w:pStyle w:val="a4"/>
        <w:numPr>
          <w:ilvl w:val="0"/>
          <w:numId w:val="35"/>
        </w:numPr>
        <w:snapToGrid w:val="0"/>
        <w:spacing w:line="500" w:lineRule="atLeast"/>
        <w:ind w:leftChars="0" w:left="709" w:hanging="709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平時查核：依據本所所訂執行計畫加強辦理，並</w:t>
      </w:r>
      <w:r w:rsidR="00736F07" w:rsidRPr="00736F07">
        <w:rPr>
          <w:rFonts w:ascii="標楷體" w:eastAsia="標楷體" w:hAnsi="標楷體" w:cs="標楷體" w:hint="eastAsia"/>
          <w:kern w:val="2"/>
          <w:sz w:val="28"/>
        </w:rPr>
        <w:t>結合本所各項業務會議確實檢討改進為民服務工作</w:t>
      </w:r>
      <w:r w:rsidRPr="00736F07">
        <w:rPr>
          <w:rFonts w:ascii="標楷體" w:eastAsia="標楷體" w:hAnsi="標楷體" w:cs="標楷體" w:hint="eastAsia"/>
          <w:kern w:val="2"/>
          <w:sz w:val="28"/>
        </w:rPr>
        <w:t>。</w:t>
      </w:r>
    </w:p>
    <w:p w14:paraId="7FCA0FBD" w14:textId="0508E429" w:rsidR="00F47C53" w:rsidRPr="00DB6F02" w:rsidRDefault="00F47C53" w:rsidP="00DB6F02">
      <w:pPr>
        <w:pStyle w:val="a4"/>
        <w:numPr>
          <w:ilvl w:val="0"/>
          <w:numId w:val="35"/>
        </w:numPr>
        <w:snapToGrid w:val="0"/>
        <w:spacing w:line="500" w:lineRule="atLeast"/>
        <w:ind w:leftChars="0"/>
        <w:rPr>
          <w:rFonts w:ascii="標楷體" w:eastAsia="標楷體" w:hAnsi="標楷體" w:cs="標楷體"/>
          <w:kern w:val="2"/>
          <w:sz w:val="28"/>
        </w:rPr>
      </w:pPr>
      <w:r w:rsidRPr="00736F07">
        <w:rPr>
          <w:rFonts w:ascii="標楷體" w:eastAsia="標楷體" w:hAnsi="標楷體" w:cs="標楷體" w:hint="eastAsia"/>
          <w:kern w:val="2"/>
          <w:sz w:val="28"/>
        </w:rPr>
        <w:t>年度查核：</w:t>
      </w:r>
      <w:r w:rsidR="00DB6F02" w:rsidRPr="00DB6F02">
        <w:rPr>
          <w:rFonts w:ascii="標楷體" w:eastAsia="標楷體" w:hAnsi="標楷體" w:cs="標楷體" w:hint="eastAsia"/>
          <w:kern w:val="2"/>
          <w:sz w:val="28"/>
        </w:rPr>
        <w:t>配合市府年度提升服務品質作業時</w:t>
      </w:r>
      <w:r w:rsidRPr="00DB6F02">
        <w:rPr>
          <w:rFonts w:ascii="標楷體" w:eastAsia="標楷體" w:hAnsi="標楷體" w:cs="標楷體" w:hint="eastAsia"/>
          <w:kern w:val="2"/>
          <w:sz w:val="28"/>
        </w:rPr>
        <w:t>程，於次年1月提送年度執行成果。</w:t>
      </w:r>
    </w:p>
    <w:p w14:paraId="05CAC977" w14:textId="77777777" w:rsidR="00A840AB" w:rsidRPr="00A840AB" w:rsidRDefault="00A840AB" w:rsidP="00A840AB">
      <w:pPr>
        <w:suppressAutoHyphens w:val="0"/>
        <w:autoSpaceDN/>
        <w:spacing w:line="400" w:lineRule="exact"/>
        <w:ind w:left="1698" w:hangingChars="606" w:hanging="1698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b/>
          <w:bCs/>
          <w:kern w:val="2"/>
          <w:sz w:val="28"/>
          <w:szCs w:val="28"/>
        </w:rPr>
        <w:t>陸、其他：</w:t>
      </w:r>
    </w:p>
    <w:p w14:paraId="4F9F7AD3" w14:textId="77777777" w:rsidR="00A840AB" w:rsidRPr="00A840AB" w:rsidRDefault="00A840AB" w:rsidP="00A840AB">
      <w:pPr>
        <w:suppressAutoHyphens w:val="0"/>
        <w:autoSpaceDN/>
        <w:spacing w:line="400" w:lineRule="exact"/>
        <w:ind w:leftChars="351" w:left="842"/>
        <w:jc w:val="both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 w:rsidRPr="00A840AB">
        <w:rPr>
          <w:rFonts w:ascii="標楷體" w:eastAsia="標楷體" w:hAnsi="標楷體" w:cs="標楷體" w:hint="eastAsia"/>
          <w:kern w:val="2"/>
          <w:sz w:val="28"/>
        </w:rPr>
        <w:t>本執行計畫經區長核定後實施，如有未盡事宜，得依本方案規定或實際需要另行補充修正。</w:t>
      </w:r>
    </w:p>
    <w:p w14:paraId="3437CB04" w14:textId="77777777" w:rsidR="000D0F0D" w:rsidRPr="00476F7A" w:rsidRDefault="000D0F0D" w:rsidP="00EC4EA5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0D0F0D" w:rsidRPr="00476F7A" w:rsidSect="007A1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7E97" w14:textId="77777777" w:rsidR="004858E9" w:rsidRDefault="004858E9" w:rsidP="00C1325B">
      <w:r>
        <w:separator/>
      </w:r>
    </w:p>
  </w:endnote>
  <w:endnote w:type="continuationSeparator" w:id="0">
    <w:p w14:paraId="5C57D652" w14:textId="77777777" w:rsidR="004858E9" w:rsidRDefault="004858E9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140424"/>
      <w:docPartObj>
        <w:docPartGallery w:val="Page Numbers (Bottom of Page)"/>
        <w:docPartUnique/>
      </w:docPartObj>
    </w:sdtPr>
    <w:sdtEndPr/>
    <w:sdtContent>
      <w:p w14:paraId="68839B86" w14:textId="77777777"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FB227C" w:rsidRPr="00FB227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BF26190" w14:textId="77777777"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03A3" w14:textId="77777777" w:rsidR="004858E9" w:rsidRDefault="004858E9" w:rsidP="00C1325B">
      <w:r>
        <w:separator/>
      </w:r>
    </w:p>
  </w:footnote>
  <w:footnote w:type="continuationSeparator" w:id="0">
    <w:p w14:paraId="55C0E742" w14:textId="77777777" w:rsidR="004858E9" w:rsidRDefault="004858E9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D06A2D"/>
    <w:multiLevelType w:val="hybridMultilevel"/>
    <w:tmpl w:val="120A7CFC"/>
    <w:lvl w:ilvl="0" w:tplc="A0EADB2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AC5804"/>
    <w:multiLevelType w:val="hybridMultilevel"/>
    <w:tmpl w:val="25A0C87A"/>
    <w:lvl w:ilvl="0" w:tplc="149ACB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F4710"/>
    <w:multiLevelType w:val="hybridMultilevel"/>
    <w:tmpl w:val="0B5AC568"/>
    <w:lvl w:ilvl="0" w:tplc="C1A08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74A74F1"/>
    <w:multiLevelType w:val="hybridMultilevel"/>
    <w:tmpl w:val="B32E7894"/>
    <w:lvl w:ilvl="0" w:tplc="2E3C34B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4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7"/>
  </w:num>
  <w:num w:numId="10">
    <w:abstractNumId w:val="18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15"/>
  </w:num>
  <w:num w:numId="16">
    <w:abstractNumId w:val="34"/>
  </w:num>
  <w:num w:numId="17">
    <w:abstractNumId w:val="20"/>
  </w:num>
  <w:num w:numId="18">
    <w:abstractNumId w:val="32"/>
  </w:num>
  <w:num w:numId="19">
    <w:abstractNumId w:val="27"/>
  </w:num>
  <w:num w:numId="20">
    <w:abstractNumId w:val="9"/>
  </w:num>
  <w:num w:numId="21">
    <w:abstractNumId w:val="11"/>
  </w:num>
  <w:num w:numId="22">
    <w:abstractNumId w:val="1"/>
  </w:num>
  <w:num w:numId="23">
    <w:abstractNumId w:val="31"/>
  </w:num>
  <w:num w:numId="24">
    <w:abstractNumId w:val="19"/>
  </w:num>
  <w:num w:numId="25">
    <w:abstractNumId w:val="3"/>
  </w:num>
  <w:num w:numId="26">
    <w:abstractNumId w:val="26"/>
  </w:num>
  <w:num w:numId="27">
    <w:abstractNumId w:val="29"/>
  </w:num>
  <w:num w:numId="28">
    <w:abstractNumId w:val="17"/>
  </w:num>
  <w:num w:numId="29">
    <w:abstractNumId w:val="33"/>
  </w:num>
  <w:num w:numId="30">
    <w:abstractNumId w:val="30"/>
  </w:num>
  <w:num w:numId="31">
    <w:abstractNumId w:val="16"/>
  </w:num>
  <w:num w:numId="32">
    <w:abstractNumId w:val="25"/>
  </w:num>
  <w:num w:numId="33">
    <w:abstractNumId w:val="12"/>
  </w:num>
  <w:num w:numId="34">
    <w:abstractNumId w:val="5"/>
  </w:num>
  <w:num w:numId="3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3E"/>
    <w:rsid w:val="000018D2"/>
    <w:rsid w:val="00002C10"/>
    <w:rsid w:val="0000347E"/>
    <w:rsid w:val="00005B53"/>
    <w:rsid w:val="00010839"/>
    <w:rsid w:val="00012AF4"/>
    <w:rsid w:val="00016776"/>
    <w:rsid w:val="000432BE"/>
    <w:rsid w:val="0007538A"/>
    <w:rsid w:val="0009651C"/>
    <w:rsid w:val="000A1964"/>
    <w:rsid w:val="000B46CD"/>
    <w:rsid w:val="000B76FE"/>
    <w:rsid w:val="000D0F0D"/>
    <w:rsid w:val="000D4900"/>
    <w:rsid w:val="00102BB6"/>
    <w:rsid w:val="00117761"/>
    <w:rsid w:val="001177FD"/>
    <w:rsid w:val="00130257"/>
    <w:rsid w:val="00130E71"/>
    <w:rsid w:val="00140C32"/>
    <w:rsid w:val="001551A9"/>
    <w:rsid w:val="0015727F"/>
    <w:rsid w:val="00163187"/>
    <w:rsid w:val="0018779F"/>
    <w:rsid w:val="00190CA5"/>
    <w:rsid w:val="00192DC5"/>
    <w:rsid w:val="001A0A8E"/>
    <w:rsid w:val="001A1845"/>
    <w:rsid w:val="001A6E93"/>
    <w:rsid w:val="001C3987"/>
    <w:rsid w:val="001D14A3"/>
    <w:rsid w:val="001D7016"/>
    <w:rsid w:val="001E112B"/>
    <w:rsid w:val="001E30B0"/>
    <w:rsid w:val="00207BC6"/>
    <w:rsid w:val="00216F1E"/>
    <w:rsid w:val="002345D6"/>
    <w:rsid w:val="00242F08"/>
    <w:rsid w:val="00251425"/>
    <w:rsid w:val="00252AA7"/>
    <w:rsid w:val="00273C70"/>
    <w:rsid w:val="00276389"/>
    <w:rsid w:val="00281FF0"/>
    <w:rsid w:val="002B1B99"/>
    <w:rsid w:val="002C2613"/>
    <w:rsid w:val="002C5075"/>
    <w:rsid w:val="002C59C0"/>
    <w:rsid w:val="002C7BC1"/>
    <w:rsid w:val="002D1DFA"/>
    <w:rsid w:val="002D205B"/>
    <w:rsid w:val="002E6D8A"/>
    <w:rsid w:val="002F3789"/>
    <w:rsid w:val="00330B42"/>
    <w:rsid w:val="0033433D"/>
    <w:rsid w:val="00335361"/>
    <w:rsid w:val="003666D6"/>
    <w:rsid w:val="0038379E"/>
    <w:rsid w:val="00387022"/>
    <w:rsid w:val="00390105"/>
    <w:rsid w:val="003912E6"/>
    <w:rsid w:val="003A313A"/>
    <w:rsid w:val="003A509C"/>
    <w:rsid w:val="003B0224"/>
    <w:rsid w:val="003B3FDC"/>
    <w:rsid w:val="003B4B55"/>
    <w:rsid w:val="003B7EAB"/>
    <w:rsid w:val="003B7F70"/>
    <w:rsid w:val="003C5683"/>
    <w:rsid w:val="003D10E4"/>
    <w:rsid w:val="003D7896"/>
    <w:rsid w:val="00404745"/>
    <w:rsid w:val="0040616A"/>
    <w:rsid w:val="0040704A"/>
    <w:rsid w:val="004077DD"/>
    <w:rsid w:val="00407EFA"/>
    <w:rsid w:val="0041590E"/>
    <w:rsid w:val="0042246A"/>
    <w:rsid w:val="00423749"/>
    <w:rsid w:val="0042388F"/>
    <w:rsid w:val="004332F3"/>
    <w:rsid w:val="0045104A"/>
    <w:rsid w:val="00451ABF"/>
    <w:rsid w:val="00457098"/>
    <w:rsid w:val="004661F8"/>
    <w:rsid w:val="0046661E"/>
    <w:rsid w:val="0046732F"/>
    <w:rsid w:val="0047394A"/>
    <w:rsid w:val="00476F7A"/>
    <w:rsid w:val="004858E9"/>
    <w:rsid w:val="00487800"/>
    <w:rsid w:val="00492B0C"/>
    <w:rsid w:val="004B02AD"/>
    <w:rsid w:val="004F1DD2"/>
    <w:rsid w:val="004F1FD9"/>
    <w:rsid w:val="004F4C96"/>
    <w:rsid w:val="00501244"/>
    <w:rsid w:val="0051381E"/>
    <w:rsid w:val="00526146"/>
    <w:rsid w:val="00530812"/>
    <w:rsid w:val="00536209"/>
    <w:rsid w:val="00536868"/>
    <w:rsid w:val="00543F24"/>
    <w:rsid w:val="0054544B"/>
    <w:rsid w:val="00583345"/>
    <w:rsid w:val="005871B1"/>
    <w:rsid w:val="005A1C5C"/>
    <w:rsid w:val="005A5EF4"/>
    <w:rsid w:val="005D37E3"/>
    <w:rsid w:val="005D7F9A"/>
    <w:rsid w:val="005E775A"/>
    <w:rsid w:val="005F2B74"/>
    <w:rsid w:val="005F32B8"/>
    <w:rsid w:val="005F52A0"/>
    <w:rsid w:val="00601B96"/>
    <w:rsid w:val="00602159"/>
    <w:rsid w:val="00602B10"/>
    <w:rsid w:val="00604357"/>
    <w:rsid w:val="006107A9"/>
    <w:rsid w:val="00617EC4"/>
    <w:rsid w:val="00624BB9"/>
    <w:rsid w:val="006314A5"/>
    <w:rsid w:val="00634703"/>
    <w:rsid w:val="006370FC"/>
    <w:rsid w:val="00643179"/>
    <w:rsid w:val="00650682"/>
    <w:rsid w:val="00651912"/>
    <w:rsid w:val="00665079"/>
    <w:rsid w:val="00666273"/>
    <w:rsid w:val="006814DF"/>
    <w:rsid w:val="00686529"/>
    <w:rsid w:val="00686B08"/>
    <w:rsid w:val="006947BF"/>
    <w:rsid w:val="006978DE"/>
    <w:rsid w:val="00697B80"/>
    <w:rsid w:val="006B0AC9"/>
    <w:rsid w:val="006B297B"/>
    <w:rsid w:val="006C470C"/>
    <w:rsid w:val="006D5061"/>
    <w:rsid w:val="006D718B"/>
    <w:rsid w:val="006F235D"/>
    <w:rsid w:val="00715BF1"/>
    <w:rsid w:val="00722111"/>
    <w:rsid w:val="007303FA"/>
    <w:rsid w:val="00736F07"/>
    <w:rsid w:val="00740C93"/>
    <w:rsid w:val="00751311"/>
    <w:rsid w:val="0075675C"/>
    <w:rsid w:val="00761B91"/>
    <w:rsid w:val="00776BD3"/>
    <w:rsid w:val="007912B8"/>
    <w:rsid w:val="007A171D"/>
    <w:rsid w:val="007A42A0"/>
    <w:rsid w:val="007A6B2B"/>
    <w:rsid w:val="007D17BA"/>
    <w:rsid w:val="007D333E"/>
    <w:rsid w:val="007D38AE"/>
    <w:rsid w:val="007D5DA2"/>
    <w:rsid w:val="007F7283"/>
    <w:rsid w:val="00800BA2"/>
    <w:rsid w:val="00804474"/>
    <w:rsid w:val="00822EBB"/>
    <w:rsid w:val="008301B7"/>
    <w:rsid w:val="00832BCD"/>
    <w:rsid w:val="00836CF9"/>
    <w:rsid w:val="00837503"/>
    <w:rsid w:val="00842542"/>
    <w:rsid w:val="00842B56"/>
    <w:rsid w:val="00842CF7"/>
    <w:rsid w:val="008464FA"/>
    <w:rsid w:val="00847782"/>
    <w:rsid w:val="008510D0"/>
    <w:rsid w:val="0087642A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61A2"/>
    <w:rsid w:val="008E73E0"/>
    <w:rsid w:val="008F269B"/>
    <w:rsid w:val="008F63AE"/>
    <w:rsid w:val="00902CE6"/>
    <w:rsid w:val="00922BA3"/>
    <w:rsid w:val="00941CC9"/>
    <w:rsid w:val="009435C4"/>
    <w:rsid w:val="00947973"/>
    <w:rsid w:val="009505CB"/>
    <w:rsid w:val="00950E3C"/>
    <w:rsid w:val="009553A2"/>
    <w:rsid w:val="00961FAC"/>
    <w:rsid w:val="00965CCD"/>
    <w:rsid w:val="00971080"/>
    <w:rsid w:val="0097343B"/>
    <w:rsid w:val="00975FA9"/>
    <w:rsid w:val="00996AEB"/>
    <w:rsid w:val="009B6C24"/>
    <w:rsid w:val="009C668B"/>
    <w:rsid w:val="009D41D4"/>
    <w:rsid w:val="009D4AAF"/>
    <w:rsid w:val="009D64CF"/>
    <w:rsid w:val="009E1686"/>
    <w:rsid w:val="009F3122"/>
    <w:rsid w:val="009F6606"/>
    <w:rsid w:val="00A159F3"/>
    <w:rsid w:val="00A23A35"/>
    <w:rsid w:val="00A41BE1"/>
    <w:rsid w:val="00A47DE0"/>
    <w:rsid w:val="00A5029F"/>
    <w:rsid w:val="00A618E0"/>
    <w:rsid w:val="00A64E09"/>
    <w:rsid w:val="00A67834"/>
    <w:rsid w:val="00A765EA"/>
    <w:rsid w:val="00A76987"/>
    <w:rsid w:val="00A83014"/>
    <w:rsid w:val="00A840AB"/>
    <w:rsid w:val="00AA4D5E"/>
    <w:rsid w:val="00AB34E0"/>
    <w:rsid w:val="00AC2A86"/>
    <w:rsid w:val="00AC4396"/>
    <w:rsid w:val="00AD6BE4"/>
    <w:rsid w:val="00B03DBB"/>
    <w:rsid w:val="00B0569D"/>
    <w:rsid w:val="00B14FCD"/>
    <w:rsid w:val="00B20FEC"/>
    <w:rsid w:val="00B22678"/>
    <w:rsid w:val="00B22BB8"/>
    <w:rsid w:val="00B41B18"/>
    <w:rsid w:val="00B42FD9"/>
    <w:rsid w:val="00B43AB2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87C1D"/>
    <w:rsid w:val="00BC1D82"/>
    <w:rsid w:val="00BD2848"/>
    <w:rsid w:val="00BD5766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472EF"/>
    <w:rsid w:val="00C53295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6DDB"/>
    <w:rsid w:val="00D07EFD"/>
    <w:rsid w:val="00D11B2D"/>
    <w:rsid w:val="00D22A08"/>
    <w:rsid w:val="00D335DE"/>
    <w:rsid w:val="00D45267"/>
    <w:rsid w:val="00D62A52"/>
    <w:rsid w:val="00D70756"/>
    <w:rsid w:val="00D76681"/>
    <w:rsid w:val="00D96F94"/>
    <w:rsid w:val="00DB171D"/>
    <w:rsid w:val="00DB4ACF"/>
    <w:rsid w:val="00DB5D7E"/>
    <w:rsid w:val="00DB626A"/>
    <w:rsid w:val="00DB6F02"/>
    <w:rsid w:val="00DC158C"/>
    <w:rsid w:val="00DC1622"/>
    <w:rsid w:val="00DC26D7"/>
    <w:rsid w:val="00DE4F02"/>
    <w:rsid w:val="00DF294A"/>
    <w:rsid w:val="00E04E5D"/>
    <w:rsid w:val="00E158A4"/>
    <w:rsid w:val="00E16A6E"/>
    <w:rsid w:val="00E21806"/>
    <w:rsid w:val="00E21931"/>
    <w:rsid w:val="00E2303C"/>
    <w:rsid w:val="00E24806"/>
    <w:rsid w:val="00E2587A"/>
    <w:rsid w:val="00E26538"/>
    <w:rsid w:val="00E41FC2"/>
    <w:rsid w:val="00E42662"/>
    <w:rsid w:val="00E55FE5"/>
    <w:rsid w:val="00E57081"/>
    <w:rsid w:val="00E61B3E"/>
    <w:rsid w:val="00E70E0A"/>
    <w:rsid w:val="00E749E1"/>
    <w:rsid w:val="00E76616"/>
    <w:rsid w:val="00E774F0"/>
    <w:rsid w:val="00E84EC1"/>
    <w:rsid w:val="00E93F5A"/>
    <w:rsid w:val="00E9713B"/>
    <w:rsid w:val="00EB36F4"/>
    <w:rsid w:val="00EC05E4"/>
    <w:rsid w:val="00EC4EA5"/>
    <w:rsid w:val="00ED253E"/>
    <w:rsid w:val="00ED2B28"/>
    <w:rsid w:val="00ED5EA9"/>
    <w:rsid w:val="00ED713A"/>
    <w:rsid w:val="00ED7C11"/>
    <w:rsid w:val="00EE65CD"/>
    <w:rsid w:val="00EF21B0"/>
    <w:rsid w:val="00EF268A"/>
    <w:rsid w:val="00EF7712"/>
    <w:rsid w:val="00EF7BBE"/>
    <w:rsid w:val="00F141DE"/>
    <w:rsid w:val="00F309CB"/>
    <w:rsid w:val="00F47C53"/>
    <w:rsid w:val="00F51904"/>
    <w:rsid w:val="00F6418E"/>
    <w:rsid w:val="00F77274"/>
    <w:rsid w:val="00F77F3D"/>
    <w:rsid w:val="00F82E8B"/>
    <w:rsid w:val="00F96CD4"/>
    <w:rsid w:val="00FB227C"/>
    <w:rsid w:val="00FB2B08"/>
    <w:rsid w:val="00FC06CA"/>
    <w:rsid w:val="00FC4E91"/>
    <w:rsid w:val="00FC5D8E"/>
    <w:rsid w:val="00FD31DD"/>
    <w:rsid w:val="00FD6D59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B3C4"/>
  <w15:docId w15:val="{064449B0-8482-4D74-81CB-8B079AE8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29BC-1C8F-4EC4-A71F-7951C6D2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3</cp:revision>
  <cp:lastPrinted>2020-01-13T08:23:00Z</cp:lastPrinted>
  <dcterms:created xsi:type="dcterms:W3CDTF">2021-01-11T03:03:00Z</dcterms:created>
  <dcterms:modified xsi:type="dcterms:W3CDTF">2021-03-18T07:26:00Z</dcterms:modified>
</cp:coreProperties>
</file>