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  <w:bookmarkStart w:id="0" w:name="_Toc240345492"/>
    </w:p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</w:p>
    <w:p w:rsidR="00654AEA" w:rsidRPr="00DC2888" w:rsidRDefault="00654AEA" w:rsidP="00DA5D63">
      <w:pPr>
        <w:jc w:val="center"/>
        <w:rPr>
          <w:rFonts w:ascii="標楷體" w:eastAsia="標楷體" w:hAnsi="標楷體" w:cs="Arial"/>
          <w:sz w:val="72"/>
          <w:szCs w:val="72"/>
        </w:rPr>
      </w:pPr>
      <w:r w:rsidRPr="00DC2888">
        <w:rPr>
          <w:rFonts w:ascii="標楷體" w:eastAsia="標楷體" w:hAnsi="標楷體" w:cs="Arial" w:hint="eastAsia"/>
          <w:sz w:val="72"/>
          <w:szCs w:val="72"/>
        </w:rPr>
        <w:t>高雄市</w:t>
      </w:r>
      <w:r w:rsidR="007C1410">
        <w:rPr>
          <w:rFonts w:ascii="標楷體" w:eastAsia="標楷體" w:hAnsi="標楷體" w:cs="Arial" w:hint="eastAsia"/>
          <w:sz w:val="72"/>
          <w:szCs w:val="72"/>
        </w:rPr>
        <w:t>那瑪夏</w:t>
      </w:r>
      <w:r w:rsidR="00DC2888" w:rsidRPr="00DC2888">
        <w:rPr>
          <w:rFonts w:ascii="標楷體" w:eastAsia="標楷體" w:hAnsi="標楷體" w:cs="Arial" w:hint="eastAsia"/>
          <w:sz w:val="72"/>
          <w:szCs w:val="72"/>
        </w:rPr>
        <w:t>區</w:t>
      </w:r>
      <w:r w:rsidRPr="00DC2888">
        <w:rPr>
          <w:rFonts w:ascii="標楷體" w:eastAsia="標楷體" w:hAnsi="標楷體" w:cs="Arial" w:hint="eastAsia"/>
          <w:sz w:val="72"/>
          <w:szCs w:val="72"/>
        </w:rPr>
        <w:t>長期照護資源</w:t>
      </w:r>
    </w:p>
    <w:p w:rsidR="00654AEA" w:rsidRPr="007C1410" w:rsidRDefault="00654AEA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Pr="00DA5D63" w:rsidRDefault="00DA5D63" w:rsidP="00DA5D63">
      <w:pPr>
        <w:jc w:val="center"/>
        <w:rPr>
          <w:rFonts w:ascii="標楷體" w:eastAsia="標楷體" w:hAnsi="標楷體"/>
        </w:rPr>
      </w:pPr>
    </w:p>
    <w:p w:rsidR="00654AEA" w:rsidRPr="00547FF3" w:rsidRDefault="00B253B2" w:rsidP="00B253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>護理師兼組長楊麗娟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護理長：</w:t>
      </w:r>
      <w:r>
        <w:rPr>
          <w:rFonts w:ascii="標楷體" w:eastAsia="標楷體" w:hAnsi="標楷體" w:hint="eastAsia"/>
          <w:sz w:val="28"/>
          <w:szCs w:val="28"/>
        </w:rPr>
        <w:t>護理長兼組長李秀花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 所長：</w:t>
      </w:r>
      <w:r>
        <w:rPr>
          <w:rFonts w:ascii="標楷體" w:eastAsia="標楷體" w:hAnsi="標楷體" w:hint="eastAsia"/>
          <w:sz w:val="28"/>
          <w:szCs w:val="28"/>
        </w:rPr>
        <w:t>醫師兼代理所長劉穎</w:t>
      </w:r>
    </w:p>
    <w:p w:rsidR="00654AEA" w:rsidRPr="00465600" w:rsidRDefault="00654AEA" w:rsidP="00DA5D63">
      <w:pPr>
        <w:ind w:right="880"/>
        <w:jc w:val="center"/>
        <w:rPr>
          <w:rFonts w:ascii="標楷體" w:eastAsia="標楷體" w:hAnsi="標楷體"/>
          <w:sz w:val="44"/>
          <w:szCs w:val="44"/>
        </w:rPr>
      </w:pPr>
      <w:r w:rsidRPr="00465600">
        <w:rPr>
          <w:rFonts w:ascii="標楷體" w:eastAsia="標楷體" w:hAnsi="標楷體" w:hint="eastAsia"/>
          <w:sz w:val="44"/>
          <w:szCs w:val="44"/>
        </w:rPr>
        <w:t>高雄市</w:t>
      </w:r>
      <w:r w:rsidR="007C1410">
        <w:rPr>
          <w:rFonts w:ascii="標楷體" w:eastAsia="標楷體" w:hAnsi="標楷體" w:hint="eastAsia"/>
          <w:sz w:val="44"/>
          <w:szCs w:val="44"/>
        </w:rPr>
        <w:t>那瑪夏</w:t>
      </w:r>
      <w:r w:rsidR="004172AF">
        <w:rPr>
          <w:rFonts w:ascii="標楷體" w:eastAsia="標楷體" w:hAnsi="標楷體" w:hint="eastAsia"/>
          <w:sz w:val="44"/>
          <w:szCs w:val="44"/>
        </w:rPr>
        <w:t>區</w:t>
      </w:r>
      <w:r w:rsidRPr="00465600">
        <w:rPr>
          <w:rFonts w:ascii="標楷體" w:eastAsia="標楷體" w:hAnsi="標楷體" w:hint="eastAsia"/>
          <w:sz w:val="44"/>
          <w:szCs w:val="44"/>
        </w:rPr>
        <w:t>衛生</w:t>
      </w:r>
      <w:r w:rsidR="004172AF">
        <w:rPr>
          <w:rFonts w:ascii="標楷體" w:eastAsia="標楷體" w:hAnsi="標楷體" w:hint="eastAsia"/>
          <w:sz w:val="44"/>
          <w:szCs w:val="44"/>
        </w:rPr>
        <w:t>所</w:t>
      </w:r>
      <w:r w:rsidRPr="00465600">
        <w:rPr>
          <w:rFonts w:ascii="標楷體" w:eastAsia="標楷體" w:hAnsi="標楷體" w:hint="eastAsia"/>
          <w:sz w:val="44"/>
          <w:szCs w:val="44"/>
        </w:rPr>
        <w:t>編印</w:t>
      </w:r>
    </w:p>
    <w:p w:rsidR="00654AEA" w:rsidRPr="00465600" w:rsidRDefault="0052733C" w:rsidP="00DA5D63">
      <w:pPr>
        <w:spacing w:line="440" w:lineRule="exact"/>
        <w:ind w:right="879" w:firstLineChars="708" w:firstLine="22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107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年</w:t>
      </w:r>
      <w:r w:rsidR="007C1410">
        <w:rPr>
          <w:rFonts w:ascii="標楷體" w:eastAsia="標楷體" w:hAnsi="標楷體" w:hint="eastAsia"/>
          <w:sz w:val="28"/>
          <w:szCs w:val="28"/>
        </w:rPr>
        <w:t>7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月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B253B2">
        <w:rPr>
          <w:rFonts w:ascii="標楷體" w:eastAsia="標楷體" w:hAnsi="標楷體" w:hint="eastAsia"/>
          <w:sz w:val="28"/>
          <w:szCs w:val="28"/>
        </w:rPr>
        <w:t>23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日訂定</w:t>
      </w:r>
    </w:p>
    <w:p w:rsidR="00654AEA" w:rsidRPr="00465600" w:rsidRDefault="000B4BAE" w:rsidP="00150FBC">
      <w:pPr>
        <w:spacing w:line="440" w:lineRule="exact"/>
        <w:ind w:right="879" w:firstLineChars="500" w:firstLine="1400"/>
        <w:rPr>
          <w:rFonts w:ascii="標楷體" w:eastAsia="標楷體" w:hAnsi="標楷體"/>
          <w:sz w:val="44"/>
          <w:szCs w:val="44"/>
        </w:rPr>
        <w:sectPr w:rsidR="00654AEA" w:rsidRPr="00465600" w:rsidSect="00DA5D63">
          <w:footerReference w:type="default" r:id="rId8"/>
          <w:pgSz w:w="16838" w:h="11906" w:orient="landscape"/>
          <w:pgMar w:top="1134" w:right="1134" w:bottom="1134" w:left="1134" w:header="851" w:footer="992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pgNumType w:start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bookmarkEnd w:id="0"/>
    <w:p w:rsidR="0052733C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 xml:space="preserve"> </w:t>
      </w:r>
      <w:r w:rsidR="007C1410">
        <w:rPr>
          <w:rFonts w:ascii="標楷體" w:eastAsia="標楷體" w:hAnsi="標楷體" w:cs="Arial" w:hint="eastAsia"/>
          <w:sz w:val="32"/>
          <w:szCs w:val="32"/>
        </w:rPr>
        <w:t>那瑪夏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7674FD" w:rsidRPr="007674FD" w:rsidRDefault="007674FD" w:rsidP="00615216">
      <w:pPr>
        <w:spacing w:afterLines="50" w:after="180" w:line="440" w:lineRule="exact"/>
        <w:rPr>
          <w:rFonts w:ascii="標楷體" w:eastAsia="標楷體" w:hAnsi="標楷體" w:cs="Arial"/>
          <w:color w:val="FF0000"/>
          <w:sz w:val="32"/>
          <w:szCs w:val="32"/>
        </w:rPr>
      </w:pPr>
      <w:r w:rsidRPr="007674FD">
        <w:rPr>
          <w:rFonts w:ascii="標楷體" w:eastAsia="標楷體" w:hAnsi="標楷體" w:cs="Arial" w:hint="eastAsia"/>
          <w:color w:val="FF0000"/>
          <w:sz w:val="32"/>
          <w:szCs w:val="32"/>
        </w:rPr>
        <w:t>內容請含：單位名稱、電話、地址、使用條件、</w:t>
      </w:r>
      <w:r w:rsidR="00E73B96">
        <w:rPr>
          <w:rFonts w:ascii="標楷體" w:eastAsia="標楷體" w:hAnsi="標楷體" w:cs="Arial" w:hint="eastAsia"/>
          <w:color w:val="FF0000"/>
          <w:sz w:val="32"/>
          <w:szCs w:val="32"/>
        </w:rPr>
        <w:t>服務內容、</w:t>
      </w:r>
      <w:r w:rsidR="00DA5D63">
        <w:rPr>
          <w:rFonts w:ascii="標楷體" w:eastAsia="標楷體" w:hAnsi="標楷體" w:cs="Arial" w:hint="eastAsia"/>
          <w:color w:val="FF0000"/>
          <w:sz w:val="32"/>
          <w:szCs w:val="32"/>
        </w:rPr>
        <w:t>收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費原則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3014"/>
        <w:gridCol w:w="1736"/>
        <w:gridCol w:w="1545"/>
        <w:gridCol w:w="2664"/>
        <w:gridCol w:w="2799"/>
      </w:tblGrid>
      <w:tr w:rsidR="0052733C" w:rsidRPr="0052733C" w:rsidTr="00DA5D63">
        <w:trPr>
          <w:trHeight w:val="1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A72C1F">
        <w:trPr>
          <w:trHeight w:val="77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財團法人伊甸</w:t>
            </w:r>
            <w:r>
              <w:rPr>
                <w:rFonts w:hAnsi="標楷體" w:cs="Arial" w:hint="eastAsia"/>
                <w:color w:val="auto"/>
              </w:rPr>
              <w:t>社會福利</w:t>
            </w:r>
            <w:r>
              <w:rPr>
                <w:rFonts w:hAnsi="標楷體" w:cs="Arial" w:hint="eastAsia"/>
                <w:color w:val="auto"/>
              </w:rPr>
              <w:t>基金會</w:t>
            </w:r>
            <w:r w:rsidR="00A72C1F">
              <w:rPr>
                <w:rFonts w:hAnsi="標楷體" w:cs="Arial" w:hint="eastAsia"/>
                <w:color w:val="auto"/>
              </w:rPr>
              <w:t>附設高雄市私立高雄居家式服務類長期照顧服務機構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</w:t>
            </w:r>
            <w:r w:rsidR="00A72C1F">
              <w:rPr>
                <w:rFonts w:hAnsi="標楷體" w:cs="Arial" w:hint="eastAsia"/>
                <w:color w:val="auto"/>
              </w:rPr>
              <w:t>旗山區花旗二路108號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07-6623326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大旗美區符合長照2.0之長輩及身心障礙者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居家服務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A72C1F">
        <w:trPr>
          <w:trHeight w:val="77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A72C1F" w:rsidP="00A72C1F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安其居家物理治療所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高雄市楠梓區壽豐路394號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0931910915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那瑪夏區符合長照2.0之復能長輩及居家復能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F" w:rsidRPr="009D6022" w:rsidRDefault="009D6022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 w:rsidRPr="009D6022">
              <w:rPr>
                <w:rFonts w:hAnsi="標楷體" w:cs="Arial" w:hint="eastAsia"/>
                <w:color w:val="auto"/>
              </w:rPr>
              <w:t>物理治療評估與測試、物理治療目標及內容之擬定、義肢、輪椅、助行器、裝具及使用訓練及指導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DA5D63">
        <w:trPr>
          <w:trHeight w:val="773"/>
        </w:trPr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1F" w:rsidRDefault="00C824EC" w:rsidP="00A72C1F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高雄市那瑪夏區衛生所附設居家護理所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高雄市那瑪夏區瑪雅里平和巷252號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07-6701142#310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4EC" w:rsidRDefault="00C824EC" w:rsidP="00C824EC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>
              <w:rPr>
                <w:rFonts w:hAnsi="標楷體" w:cs="Arial" w:hint="eastAsia"/>
                <w:color w:val="auto"/>
              </w:rPr>
              <w:t>那瑪夏區符合</w:t>
            </w:r>
            <w:r>
              <w:rPr>
                <w:rFonts w:hAnsi="標楷體" w:cs="Arial" w:hint="eastAsia"/>
                <w:color w:val="auto"/>
              </w:rPr>
              <w:t>更換管路及傷口護理需求之民眾。</w:t>
            </w:r>
          </w:p>
          <w:p w:rsidR="00C824EC" w:rsidRDefault="00C824EC" w:rsidP="00C824EC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2.符合長照2.0之民眾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  <w:p w:rsidR="00A72C1F" w:rsidRDefault="00C824EC" w:rsidP="00C824EC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</w:t>
            </w:r>
            <w:r>
              <w:rPr>
                <w:rFonts w:hAnsi="標楷體" w:cs="Arial" w:hint="eastAsia"/>
                <w:color w:val="auto"/>
              </w:rPr>
              <w:t>營養及居家護理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居家營養</w:t>
            </w:r>
          </w:p>
          <w:p w:rsidR="00A72C1F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居家護理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居家醫療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居家復能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  <w:r w:rsidR="00C824EC">
              <w:rPr>
                <w:rFonts w:hAnsi="標楷體" w:cs="Arial" w:hint="eastAsia"/>
                <w:color w:val="auto"/>
              </w:rPr>
              <w:t>及健保申報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lastRenderedPageBreak/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3237"/>
        <w:gridCol w:w="1521"/>
        <w:gridCol w:w="1558"/>
        <w:gridCol w:w="2703"/>
        <w:gridCol w:w="2783"/>
      </w:tblGrid>
      <w:tr w:rsidR="0052733C" w:rsidRPr="0052733C" w:rsidTr="006827A3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DA5D63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社團法人高雄市原住民婦女永續發展協會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849高雄市那瑪夏區達卡努瓦里秀嶺巷128號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那瑪夏區瑪雅里符合長照2.0之長輩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營養餐飲服務(共餐</w:t>
            </w:r>
          </w:p>
          <w:p w:rsidR="0052733C" w:rsidRDefault="007C5C1E" w:rsidP="006827A3">
            <w:pPr>
              <w:pStyle w:val="Default"/>
              <w:ind w:left="360"/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臨時托顧服務或喘</w:t>
            </w:r>
            <w:r w:rsidR="006827A3">
              <w:rPr>
                <w:rFonts w:hAnsi="標楷體" w:cs="Arial" w:hint="eastAsia"/>
                <w:color w:val="auto"/>
              </w:rPr>
              <w:t>息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服務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預防及延緩失能照</w:t>
            </w:r>
            <w:r w:rsidR="006827A3">
              <w:rPr>
                <w:rFonts w:hAnsi="標楷體" w:cs="Arial" w:hint="eastAsia"/>
                <w:color w:val="auto"/>
              </w:rPr>
              <w:t>顧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計畫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成立家庭支持團體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9B7D85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關懷訪視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電話問安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高雄市原住民文化藝術發展協會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高雄市那瑪夏區達卡努瓦里秀嶺巷82號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r w:rsidR="009B7D85">
              <w:rPr>
                <w:rFonts w:hAnsi="標楷體" w:cs="Arial" w:hint="eastAsia"/>
                <w:color w:val="auto"/>
              </w:rPr>
              <w:t>6701786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5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  <w:r>
              <w:rPr>
                <w:rFonts w:hAnsi="標楷體" w:cs="Arial" w:hint="eastAsia"/>
                <w:color w:val="auto"/>
              </w:rPr>
              <w:t xml:space="preserve"> 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32146C" w:rsidRDefault="0032146C" w:rsidP="006827A3">
            <w:pPr>
              <w:pStyle w:val="Default"/>
              <w:jc w:val="center"/>
              <w:rPr>
                <w:rFonts w:ascii="新細明體" w:eastAsia="新細明體" w:hAnsi="新細明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</w:p>
          <w:p w:rsidR="009B7D85" w:rsidRPr="007C5C1E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高雄市布農族社會永續發展協會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</w:t>
            </w:r>
            <w:r>
              <w:rPr>
                <w:rFonts w:hAnsi="標楷體" w:cs="Arial" w:hint="eastAsia"/>
                <w:color w:val="auto"/>
              </w:rPr>
              <w:t>116</w:t>
            </w:r>
            <w:r>
              <w:rPr>
                <w:rFonts w:hAnsi="標楷體" w:cs="Arial" w:hint="eastAsia"/>
                <w:color w:val="auto"/>
              </w:rPr>
              <w:t>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9B7D85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bookmarkStart w:id="1" w:name="_GoBack"/>
            <w:bookmarkEnd w:id="1"/>
            <w:r w:rsidR="009B7D85">
              <w:rPr>
                <w:rFonts w:hAnsi="標楷體" w:cs="Arial" w:hint="eastAsia"/>
                <w:color w:val="auto"/>
              </w:rPr>
              <w:t>6701696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</w:t>
            </w:r>
            <w:r>
              <w:rPr>
                <w:rFonts w:hAnsi="標楷體" w:cs="Arial" w:hint="eastAsia"/>
                <w:color w:val="auto"/>
              </w:rPr>
              <w:lastRenderedPageBreak/>
              <w:t>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轉介服務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無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lastRenderedPageBreak/>
        <w:t>3.機構式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</w:t>
      </w:r>
      <w:r w:rsidR="00926A17">
        <w:rPr>
          <w:rFonts w:hAnsi="標楷體" w:cs="Arial" w:hint="eastAsia"/>
          <w:color w:val="auto"/>
        </w:rPr>
        <w:t>安養機構、養護機構、護理之家、榮民之家</w:t>
      </w:r>
    </w:p>
    <w:tbl>
      <w:tblPr>
        <w:tblW w:w="138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0"/>
        <w:gridCol w:w="1559"/>
        <w:gridCol w:w="1527"/>
        <w:gridCol w:w="2840"/>
        <w:gridCol w:w="2693"/>
      </w:tblGrid>
      <w:tr w:rsidR="0052733C" w:rsidRPr="0052733C" w:rsidTr="00DA5D63">
        <w:trPr>
          <w:trHeight w:val="16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8B5747" w:rsidTr="00DA5D63">
        <w:trPr>
          <w:trHeight w:val="898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7C5C1E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15216" w:rsidRPr="00DC2888" w:rsidRDefault="00615216" w:rsidP="00C954EB">
      <w:pPr>
        <w:pStyle w:val="Default"/>
        <w:rPr>
          <w:rFonts w:hAnsi="標楷體" w:cs="Arial"/>
          <w:color w:val="auto"/>
        </w:rPr>
      </w:pPr>
    </w:p>
    <w:sectPr w:rsidR="00615216" w:rsidRPr="00DC2888" w:rsidSect="0052733C">
      <w:footerReference w:type="default" r:id="rId9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C0" w:rsidRDefault="00B936C0">
      <w:r>
        <w:separator/>
      </w:r>
    </w:p>
  </w:endnote>
  <w:endnote w:type="continuationSeparator" w:id="0">
    <w:p w:rsidR="00B936C0" w:rsidRDefault="00B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</w:p>
  <w:p w:rsidR="00785C8E" w:rsidRDefault="00785C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82B" w:rsidRPr="00DD182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C0" w:rsidRDefault="00B936C0">
      <w:r>
        <w:separator/>
      </w:r>
    </w:p>
  </w:footnote>
  <w:footnote w:type="continuationSeparator" w:id="0">
    <w:p w:rsidR="00B936C0" w:rsidRDefault="00B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5018A9"/>
    <w:multiLevelType w:val="hybridMultilevel"/>
    <w:tmpl w:val="C66463FC"/>
    <w:lvl w:ilvl="0" w:tplc="EB800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6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1D643C06"/>
    <w:multiLevelType w:val="hybridMultilevel"/>
    <w:tmpl w:val="A6D82BBC"/>
    <w:lvl w:ilvl="0" w:tplc="ED28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7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8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36661E2A"/>
    <w:multiLevelType w:val="hybridMultilevel"/>
    <w:tmpl w:val="051A04D4"/>
    <w:lvl w:ilvl="0" w:tplc="5800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1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2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4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5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6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9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8227679"/>
    <w:multiLevelType w:val="hybridMultilevel"/>
    <w:tmpl w:val="2B7EDD08"/>
    <w:lvl w:ilvl="0" w:tplc="12F4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2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6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2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3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1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2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55"/>
  </w:num>
  <w:num w:numId="4">
    <w:abstractNumId w:val="53"/>
  </w:num>
  <w:num w:numId="5">
    <w:abstractNumId w:val="60"/>
  </w:num>
  <w:num w:numId="6">
    <w:abstractNumId w:val="9"/>
  </w:num>
  <w:num w:numId="7">
    <w:abstractNumId w:val="14"/>
  </w:num>
  <w:num w:numId="8">
    <w:abstractNumId w:val="49"/>
  </w:num>
  <w:num w:numId="9">
    <w:abstractNumId w:val="20"/>
  </w:num>
  <w:num w:numId="10">
    <w:abstractNumId w:val="57"/>
  </w:num>
  <w:num w:numId="11">
    <w:abstractNumId w:val="58"/>
  </w:num>
  <w:num w:numId="12">
    <w:abstractNumId w:val="28"/>
  </w:num>
  <w:num w:numId="13">
    <w:abstractNumId w:val="56"/>
  </w:num>
  <w:num w:numId="14">
    <w:abstractNumId w:val="24"/>
  </w:num>
  <w:num w:numId="15">
    <w:abstractNumId w:val="13"/>
  </w:num>
  <w:num w:numId="16">
    <w:abstractNumId w:val="7"/>
  </w:num>
  <w:num w:numId="17">
    <w:abstractNumId w:val="0"/>
  </w:num>
  <w:num w:numId="18">
    <w:abstractNumId w:val="62"/>
  </w:num>
  <w:num w:numId="19">
    <w:abstractNumId w:val="46"/>
  </w:num>
  <w:num w:numId="20">
    <w:abstractNumId w:val="25"/>
  </w:num>
  <w:num w:numId="21">
    <w:abstractNumId w:val="64"/>
  </w:num>
  <w:num w:numId="22">
    <w:abstractNumId w:val="15"/>
  </w:num>
  <w:num w:numId="23">
    <w:abstractNumId w:val="44"/>
  </w:num>
  <w:num w:numId="24">
    <w:abstractNumId w:val="47"/>
  </w:num>
  <w:num w:numId="25">
    <w:abstractNumId w:val="51"/>
  </w:num>
  <w:num w:numId="26">
    <w:abstractNumId w:val="8"/>
  </w:num>
  <w:num w:numId="27">
    <w:abstractNumId w:val="17"/>
  </w:num>
  <w:num w:numId="28">
    <w:abstractNumId w:val="45"/>
  </w:num>
  <w:num w:numId="29">
    <w:abstractNumId w:val="52"/>
  </w:num>
  <w:num w:numId="30">
    <w:abstractNumId w:val="26"/>
  </w:num>
  <w:num w:numId="31">
    <w:abstractNumId w:val="31"/>
  </w:num>
  <w:num w:numId="32">
    <w:abstractNumId w:val="5"/>
  </w:num>
  <w:num w:numId="33">
    <w:abstractNumId w:val="3"/>
  </w:num>
  <w:num w:numId="34">
    <w:abstractNumId w:val="19"/>
  </w:num>
  <w:num w:numId="35">
    <w:abstractNumId w:val="38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63"/>
  </w:num>
  <w:num w:numId="41">
    <w:abstractNumId w:val="21"/>
  </w:num>
  <w:num w:numId="42">
    <w:abstractNumId w:val="23"/>
  </w:num>
  <w:num w:numId="43">
    <w:abstractNumId w:val="54"/>
  </w:num>
  <w:num w:numId="44">
    <w:abstractNumId w:val="34"/>
  </w:num>
  <w:num w:numId="45">
    <w:abstractNumId w:val="42"/>
  </w:num>
  <w:num w:numId="46">
    <w:abstractNumId w:val="61"/>
  </w:num>
  <w:num w:numId="47">
    <w:abstractNumId w:val="6"/>
  </w:num>
  <w:num w:numId="48">
    <w:abstractNumId w:val="22"/>
  </w:num>
  <w:num w:numId="49">
    <w:abstractNumId w:val="11"/>
  </w:num>
  <w:num w:numId="50">
    <w:abstractNumId w:val="59"/>
  </w:num>
  <w:num w:numId="51">
    <w:abstractNumId w:val="43"/>
  </w:num>
  <w:num w:numId="52">
    <w:abstractNumId w:val="10"/>
  </w:num>
  <w:num w:numId="53">
    <w:abstractNumId w:val="50"/>
  </w:num>
  <w:num w:numId="54">
    <w:abstractNumId w:val="18"/>
  </w:num>
  <w:num w:numId="55">
    <w:abstractNumId w:val="2"/>
  </w:num>
  <w:num w:numId="56">
    <w:abstractNumId w:val="12"/>
  </w:num>
  <w:num w:numId="57">
    <w:abstractNumId w:val="27"/>
  </w:num>
  <w:num w:numId="58">
    <w:abstractNumId w:val="1"/>
  </w:num>
  <w:num w:numId="59">
    <w:abstractNumId w:val="37"/>
  </w:num>
  <w:num w:numId="60">
    <w:abstractNumId w:val="39"/>
  </w:num>
  <w:num w:numId="61">
    <w:abstractNumId w:val="48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16"/>
  </w:num>
  <w:num w:numId="65">
    <w:abstractNumId w:val="4"/>
  </w:num>
  <w:num w:numId="66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71E"/>
    <w:rsid w:val="00001A33"/>
    <w:rsid w:val="00001FA1"/>
    <w:rsid w:val="000020BE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35B4"/>
    <w:rsid w:val="00177754"/>
    <w:rsid w:val="00180DFB"/>
    <w:rsid w:val="00180EB2"/>
    <w:rsid w:val="00181F31"/>
    <w:rsid w:val="00182F4A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DEF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5A14"/>
    <w:rsid w:val="002563A6"/>
    <w:rsid w:val="00256850"/>
    <w:rsid w:val="0026118C"/>
    <w:rsid w:val="0026264D"/>
    <w:rsid w:val="002636F6"/>
    <w:rsid w:val="002656A1"/>
    <w:rsid w:val="00266D3D"/>
    <w:rsid w:val="00266E53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46C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443A"/>
    <w:rsid w:val="00334B77"/>
    <w:rsid w:val="00336903"/>
    <w:rsid w:val="0033790F"/>
    <w:rsid w:val="0034055E"/>
    <w:rsid w:val="00341E32"/>
    <w:rsid w:val="00343459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6DED"/>
    <w:rsid w:val="00360B30"/>
    <w:rsid w:val="003610B9"/>
    <w:rsid w:val="003614F5"/>
    <w:rsid w:val="0036184F"/>
    <w:rsid w:val="00365EAB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7D21"/>
    <w:rsid w:val="005B1133"/>
    <w:rsid w:val="005B16EB"/>
    <w:rsid w:val="005B17F9"/>
    <w:rsid w:val="005B32F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2B4F"/>
    <w:rsid w:val="005F3E05"/>
    <w:rsid w:val="005F43D5"/>
    <w:rsid w:val="005F4AE8"/>
    <w:rsid w:val="005F5AD7"/>
    <w:rsid w:val="00600FA9"/>
    <w:rsid w:val="00601495"/>
    <w:rsid w:val="00601611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27A3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410"/>
    <w:rsid w:val="007C19E3"/>
    <w:rsid w:val="007C2739"/>
    <w:rsid w:val="007C4418"/>
    <w:rsid w:val="007C5C1E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683B"/>
    <w:rsid w:val="007E6D4B"/>
    <w:rsid w:val="007E74B4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B7D85"/>
    <w:rsid w:val="009C02A9"/>
    <w:rsid w:val="009C0B35"/>
    <w:rsid w:val="009C2B41"/>
    <w:rsid w:val="009C2FB3"/>
    <w:rsid w:val="009C47C4"/>
    <w:rsid w:val="009C49CC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022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2C1F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53B2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9001B"/>
    <w:rsid w:val="00B9005E"/>
    <w:rsid w:val="00B903E1"/>
    <w:rsid w:val="00B92575"/>
    <w:rsid w:val="00B936C0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513D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24EC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D1112"/>
    <w:rsid w:val="00DD182B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4C"/>
    <w:rsid w:val="00F62300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AD6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2</cp:revision>
  <cp:lastPrinted>2018-07-23T08:21:00Z</cp:lastPrinted>
  <dcterms:created xsi:type="dcterms:W3CDTF">2018-07-23T08:27:00Z</dcterms:created>
  <dcterms:modified xsi:type="dcterms:W3CDTF">2018-07-23T08:27:00Z</dcterms:modified>
</cp:coreProperties>
</file>