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Default="00870A32" w:rsidP="00870A32"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="008B092C">
        <w:rPr>
          <w:rFonts w:ascii="Arial Unicode MS" w:eastAsia="Arial Unicode MS" w:hAnsi="Arial Unicode MS" w:cs="Arial Unicode MS" w:hint="eastAsia"/>
        </w:rPr>
        <w:t xml:space="preserve">     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二組業務分配表 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870A32" w:rsidTr="007775E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承辦人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主辦業務</w:t>
            </w:r>
          </w:p>
        </w:tc>
      </w:tr>
      <w:tr w:rsidR="00870A32" w:rsidTr="007775E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楊麗娟護理師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標楷體" w:eastAsia="標楷體" w:hAnsi="標楷體" w:hint="eastAsia"/>
              </w:rPr>
              <w:t>★</w:t>
            </w:r>
            <w:proofErr w:type="gramStart"/>
            <w:r w:rsidRPr="003A3B9F">
              <w:rPr>
                <w:rFonts w:hint="eastAsia"/>
                <w:b/>
              </w:rPr>
              <w:t>醫</w:t>
            </w:r>
            <w:proofErr w:type="gramEnd"/>
            <w:r w:rsidRPr="003A3B9F">
              <w:rPr>
                <w:rFonts w:hint="eastAsia"/>
                <w:b/>
              </w:rPr>
              <w:t>政業務</w:t>
            </w:r>
            <w:r>
              <w:rPr>
                <w:rFonts w:hint="eastAsia"/>
              </w:rPr>
              <w:t xml:space="preserve"> 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各類醫療（事）機構（醫院除外）申請開業、歇業及變更。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各類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事人員申請開業、歇業及變更等事宜，除護理師（士）、助產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士（師）、營養師（醫療機構）、藥師（醫療機構）由本局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政事務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科辦理外，餘由衛生所辦理。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醫療機構（含醫院）各類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事人員報備支援（登錄、變更、註銷）業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。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密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及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事人員非法執業查辦及陳情案件（含廣告案件）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辦理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事機構及人員卡（</w:t>
            </w:r>
            <w:r>
              <w:rPr>
                <w:rFonts w:hint="eastAsia"/>
              </w:rPr>
              <w:t>RAO</w:t>
            </w:r>
            <w:r>
              <w:rPr>
                <w:rFonts w:hint="eastAsia"/>
              </w:rPr>
              <w:t>系統）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勞工健檢業務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rFonts w:asciiTheme="minorEastAsia" w:hAnsiTheme="minorEastAsia"/>
                <w:b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asciiTheme="minorEastAsia" w:hAnsiTheme="minorEastAsia" w:hint="eastAsia"/>
                <w:b/>
              </w:rPr>
              <w:t>企劃研考業務</w:t>
            </w:r>
          </w:p>
          <w:p w:rsidR="00870A32" w:rsidRPr="00DE0EFC" w:rsidRDefault="00870A32" w:rsidP="007775EA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Pr="00DE0EFC">
              <w:rPr>
                <w:rFonts w:asciiTheme="minorEastAsia" w:hAnsiTheme="minorEastAsia" w:hint="eastAsia"/>
              </w:rPr>
              <w:t>行政相驗</w:t>
            </w:r>
          </w:p>
          <w:p w:rsidR="00870A32" w:rsidRPr="00DE0EFC" w:rsidRDefault="00870A32" w:rsidP="007775EA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DE0EFC">
              <w:rPr>
                <w:rFonts w:asciiTheme="minorEastAsia" w:hAnsiTheme="minorEastAsia" w:hint="eastAsia"/>
              </w:rPr>
              <w:t>2.死因統計</w:t>
            </w:r>
          </w:p>
          <w:p w:rsidR="00870A32" w:rsidRDefault="00870A32" w:rsidP="007775EA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DE0EFC">
              <w:rPr>
                <w:rFonts w:asciiTheme="minorEastAsia" w:hAnsiTheme="minorEastAsia" w:hint="eastAsia"/>
              </w:rPr>
              <w:t>3.衛生保健志工管理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標楷體" w:eastAsia="標楷體" w:hAnsi="標楷體" w:hint="eastAsia"/>
              </w:rPr>
              <w:t>★</w:t>
            </w:r>
            <w:proofErr w:type="gramStart"/>
            <w:r w:rsidRPr="009002DD">
              <w:rPr>
                <w:rFonts w:hint="eastAsia"/>
                <w:b/>
              </w:rPr>
              <w:t>醫</w:t>
            </w:r>
            <w:proofErr w:type="gramEnd"/>
            <w:r w:rsidRPr="009002DD">
              <w:rPr>
                <w:rFonts w:hint="eastAsia"/>
                <w:b/>
              </w:rPr>
              <w:t>政事務科</w:t>
            </w:r>
            <w:r>
              <w:rPr>
                <w:rFonts w:hint="eastAsia"/>
              </w:rPr>
              <w:t xml:space="preserve"> :</w:t>
            </w:r>
            <w:r w:rsidRPr="00DE0EFC">
              <w:rPr>
                <w:rFonts w:hint="eastAsia"/>
              </w:rPr>
              <w:t>老人假牙（公費裝置假牙）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獎勵金管理業務</w:t>
            </w:r>
          </w:p>
          <w:p w:rsidR="00870A32" w:rsidRDefault="00870A32" w:rsidP="007775EA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hint="eastAsia"/>
                <w:b/>
              </w:rPr>
              <w:t>健康管理科</w:t>
            </w:r>
            <w:r>
              <w:rPr>
                <w:rFonts w:hint="eastAsia"/>
              </w:rPr>
              <w:t xml:space="preserve">: </w:t>
            </w:r>
            <w:r w:rsidRPr="00DE0EFC">
              <w:rPr>
                <w:rFonts w:hint="eastAsia"/>
              </w:rPr>
              <w:t>職場健康促進</w:t>
            </w:r>
            <w:r>
              <w:rPr>
                <w:rFonts w:asciiTheme="minorEastAsia" w:hAnsiTheme="minorEastAsia" w:hint="eastAsia"/>
              </w:rPr>
              <w:t>、</w:t>
            </w:r>
            <w:r w:rsidRPr="00DE0EFC">
              <w:rPr>
                <w:rFonts w:asciiTheme="minorEastAsia" w:hAnsiTheme="minorEastAsia" w:hint="eastAsia"/>
              </w:rPr>
              <w:t>.</w:t>
            </w:r>
            <w:proofErr w:type="gramStart"/>
            <w:r w:rsidRPr="00DE0EFC">
              <w:rPr>
                <w:rFonts w:asciiTheme="minorEastAsia" w:hAnsiTheme="minorEastAsia" w:hint="eastAsia"/>
              </w:rPr>
              <w:t>菸</w:t>
            </w:r>
            <w:proofErr w:type="gramEnd"/>
            <w:r w:rsidRPr="00DE0EFC">
              <w:rPr>
                <w:rFonts w:asciiTheme="minorEastAsia" w:hAnsiTheme="minorEastAsia" w:hint="eastAsia"/>
              </w:rPr>
              <w:t>害防制宣導</w:t>
            </w:r>
            <w:r>
              <w:rPr>
                <w:rFonts w:asciiTheme="minorEastAsia" w:hAnsiTheme="minorEastAsia" w:hint="eastAsia"/>
              </w:rPr>
              <w:t>及戒菸班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hint="eastAsia"/>
                <w:b/>
              </w:rPr>
              <w:t>檢驗科</w:t>
            </w:r>
            <w:r w:rsidRPr="009002DD">
              <w:rPr>
                <w:rFonts w:hint="eastAsia"/>
                <w:b/>
              </w:rPr>
              <w:t xml:space="preserve">: </w:t>
            </w:r>
            <w:r w:rsidRPr="009002DD">
              <w:rPr>
                <w:rFonts w:hint="eastAsia"/>
                <w:b/>
              </w:rPr>
              <w:t>檢驗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出納業務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檔案管理</w:t>
            </w:r>
            <w:r>
              <w:rPr>
                <w:rFonts w:hint="eastAsia"/>
                <w:b/>
              </w:rPr>
              <w:t>業務</w:t>
            </w:r>
          </w:p>
          <w:p w:rsidR="00870A32" w:rsidRPr="00DE0EFC" w:rsidRDefault="00870A32" w:rsidP="007775EA">
            <w:pPr>
              <w:widowControl w:val="0"/>
              <w:spacing w:line="240" w:lineRule="auto"/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督導二組業務</w:t>
            </w:r>
          </w:p>
        </w:tc>
      </w:tr>
      <w:tr w:rsidR="00870A32" w:rsidTr="007775E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陳惠珠藥師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hint="eastAsia"/>
                <w:b/>
              </w:rPr>
              <w:t>藥政業務</w:t>
            </w:r>
            <w:r w:rsidRPr="009002DD">
              <w:rPr>
                <w:rFonts w:hint="eastAsia"/>
                <w:b/>
              </w:rPr>
              <w:t xml:space="preserve">: 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藥商、藥局設立、變更及停歇業登記事項等業務及普查與輔導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藥商（含中藥商）、藥局藥事人員執業、變更與停歇業登記事項業務</w:t>
            </w:r>
          </w:p>
          <w:p w:rsidR="00870A32" w:rsidRDefault="00870A32" w:rsidP="00870A32">
            <w:pPr>
              <w:widowControl w:val="0"/>
              <w:spacing w:line="240" w:lineRule="auto"/>
              <w:ind w:firstLineChars="100" w:firstLine="220"/>
            </w:pPr>
            <w:r>
              <w:rPr>
                <w:rFonts w:hint="eastAsia"/>
              </w:rPr>
              <w:t>管理及稽查與輔導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實施醫藥分業診所、藥局、西藥販賣藥事人員執業情形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機構（醫院、診所、藥局、動物醫院、藥商販賣業、藥商製造業）申</w:t>
            </w:r>
          </w:p>
          <w:p w:rsidR="00870A32" w:rsidRDefault="00870A32" w:rsidP="00870A32">
            <w:pPr>
              <w:widowControl w:val="0"/>
              <w:spacing w:line="240" w:lineRule="auto"/>
              <w:ind w:firstLineChars="100" w:firstLine="220"/>
            </w:pPr>
            <w:r>
              <w:rPr>
                <w:rFonts w:hint="eastAsia"/>
              </w:rPr>
              <w:t>請管制藥品</w:t>
            </w:r>
            <w:proofErr w:type="gramStart"/>
            <w:r>
              <w:rPr>
                <w:rFonts w:hint="eastAsia"/>
              </w:rPr>
              <w:t>登記證停</w:t>
            </w:r>
            <w:proofErr w:type="gramEnd"/>
            <w:r>
              <w:rPr>
                <w:rFonts w:hint="eastAsia"/>
              </w:rPr>
              <w:t>、歇業及變更業務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管制藥品銷毀、減損業務及輔導查核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用藥安全、藥物濫用宣導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7..</w:t>
            </w:r>
            <w:r>
              <w:rPr>
                <w:rFonts w:hint="eastAsia"/>
              </w:rPr>
              <w:t>藥品化</w:t>
            </w:r>
            <w:proofErr w:type="gramStart"/>
            <w:r>
              <w:rPr>
                <w:rFonts w:hint="eastAsia"/>
              </w:rPr>
              <w:t>粧</w:t>
            </w:r>
            <w:proofErr w:type="gramEnd"/>
            <w:r>
              <w:rPr>
                <w:rFonts w:hint="eastAsia"/>
              </w:rPr>
              <w:t>品醫療器材之不法查緝及違規案件與廣告之移送查處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含人</w:t>
            </w:r>
          </w:p>
          <w:p w:rsidR="00870A32" w:rsidRDefault="00870A32" w:rsidP="00870A32">
            <w:pPr>
              <w:widowControl w:val="0"/>
              <w:spacing w:line="240" w:lineRule="auto"/>
              <w:ind w:firstLineChars="100" w:firstLine="220"/>
            </w:pPr>
            <w:r>
              <w:rPr>
                <w:rFonts w:hint="eastAsia"/>
              </w:rPr>
              <w:t>民陳情申訴檢驗案件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hint="eastAsia"/>
                <w:b/>
              </w:rPr>
              <w:t>肺炎</w:t>
            </w:r>
            <w:proofErr w:type="gramStart"/>
            <w:r w:rsidRPr="009002DD">
              <w:rPr>
                <w:rFonts w:hint="eastAsia"/>
                <w:b/>
              </w:rPr>
              <w:t>口罩名制</w:t>
            </w:r>
            <w:proofErr w:type="gramEnd"/>
          </w:p>
        </w:tc>
      </w:tr>
      <w:tr w:rsidR="00870A32" w:rsidTr="007775E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孫志恆稽查員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32" w:rsidRPr="003A3B9F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3A3B9F">
              <w:rPr>
                <w:rFonts w:ascii="標楷體" w:eastAsia="標楷體" w:hAnsi="標楷體" w:hint="eastAsia"/>
                <w:b/>
              </w:rPr>
              <w:t>★</w:t>
            </w:r>
            <w:r w:rsidRPr="003A3B9F">
              <w:rPr>
                <w:rFonts w:hint="eastAsia"/>
                <w:b/>
              </w:rPr>
              <w:t>營業衛生</w:t>
            </w:r>
            <w:r>
              <w:rPr>
                <w:rFonts w:hint="eastAsia"/>
                <w:b/>
              </w:rPr>
              <w:t>及職業衛生管理</w:t>
            </w:r>
            <w:r w:rsidRPr="003A3B9F">
              <w:rPr>
                <w:rFonts w:hint="eastAsia"/>
                <w:b/>
              </w:rPr>
              <w:t>業務</w:t>
            </w:r>
            <w:r w:rsidRPr="003A3B9F">
              <w:rPr>
                <w:rFonts w:hint="eastAsia"/>
                <w:b/>
              </w:rPr>
              <w:t xml:space="preserve"> 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營業衛生類別事業單位管理稽查與輔導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營業衛生例行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樣送驗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輔導營業衛生自主管理與衛生管理人衛生講習</w:t>
            </w:r>
          </w:p>
          <w:p w:rsidR="00870A32" w:rsidRPr="003A3B9F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3A3B9F"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Pr="003A3B9F">
              <w:rPr>
                <w:rFonts w:hint="eastAsia"/>
                <w:b/>
              </w:rPr>
              <w:t>菸</w:t>
            </w:r>
            <w:proofErr w:type="gramEnd"/>
            <w:r w:rsidRPr="003A3B9F">
              <w:rPr>
                <w:rFonts w:hint="eastAsia"/>
                <w:b/>
              </w:rPr>
              <w:t>害稽查業務</w:t>
            </w:r>
            <w:r w:rsidRPr="003A3B9F">
              <w:rPr>
                <w:rFonts w:hint="eastAsia"/>
                <w:b/>
              </w:rPr>
              <w:t xml:space="preserve"> 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各類別事業單位及各級學校</w:t>
            </w:r>
            <w:proofErr w:type="gramStart"/>
            <w:r>
              <w:rPr>
                <w:rFonts w:hint="eastAsia"/>
              </w:rPr>
              <w:t>菸</w:t>
            </w:r>
            <w:proofErr w:type="gramEnd"/>
            <w:r>
              <w:rPr>
                <w:rFonts w:hint="eastAsia"/>
              </w:rPr>
              <w:t>害稽查與輔導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菸</w:t>
            </w:r>
            <w:proofErr w:type="gramEnd"/>
            <w:r>
              <w:rPr>
                <w:rFonts w:hint="eastAsia"/>
              </w:rPr>
              <w:t>害防制陳情案件調查處理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9002DD">
              <w:rPr>
                <w:rFonts w:hint="eastAsia"/>
                <w:b/>
              </w:rPr>
              <w:t>加水站業務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食品衛生業務</w:t>
            </w:r>
          </w:p>
          <w:p w:rsidR="00870A32" w:rsidRPr="009002DD" w:rsidRDefault="00870A32" w:rsidP="007775EA">
            <w:pPr>
              <w:widowControl w:val="0"/>
              <w:spacing w:line="240" w:lineRule="auto"/>
              <w:rPr>
                <w:b/>
              </w:rPr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毒品業務</w:t>
            </w:r>
          </w:p>
          <w:p w:rsidR="00870A32" w:rsidRDefault="00870A32" w:rsidP="007775EA">
            <w:pPr>
              <w:widowControl w:val="0"/>
              <w:spacing w:line="240" w:lineRule="auto"/>
            </w:pPr>
            <w:r w:rsidRPr="009002DD">
              <w:rPr>
                <w:rFonts w:ascii="標楷體" w:eastAsia="標楷體" w:hAnsi="標楷體" w:hint="eastAsia"/>
                <w:b/>
              </w:rPr>
              <w:t>★</w:t>
            </w:r>
            <w:r w:rsidRPr="009002DD">
              <w:rPr>
                <w:rFonts w:hint="eastAsia"/>
                <w:b/>
              </w:rPr>
              <w:t>救護車稽查業務</w:t>
            </w:r>
          </w:p>
        </w:tc>
      </w:tr>
    </w:tbl>
    <w:p w:rsidR="00870A32" w:rsidRDefault="00870A32" w:rsidP="00870A32"/>
    <w:p w:rsidR="00870A32" w:rsidRDefault="00870A32" w:rsidP="00870A32"/>
    <w:p w:rsidR="00D47612" w:rsidRPr="00870A32" w:rsidRDefault="00D47612"/>
    <w:sectPr w:rsidR="00D47612" w:rsidRPr="00870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2"/>
    <w:rsid w:val="00870A32"/>
    <w:rsid w:val="008B092C"/>
    <w:rsid w:val="00957FCC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A3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7FC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957FCC"/>
    <w:rPr>
      <w:rFonts w:asciiTheme="majorHAnsi" w:eastAsia="新細明體" w:hAnsiTheme="majorHAnsi" w:cstheme="majorBidi"/>
      <w:i/>
      <w:iCs/>
      <w:szCs w:val="24"/>
    </w:rPr>
  </w:style>
  <w:style w:type="character" w:styleId="a5">
    <w:name w:val="Intense Reference"/>
    <w:basedOn w:val="a0"/>
    <w:uiPriority w:val="32"/>
    <w:qFormat/>
    <w:rsid w:val="00957FCC"/>
    <w:rPr>
      <w:b/>
      <w:bCs/>
      <w:smallCaps/>
      <w:color w:val="CCB400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A3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7FC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957FCC"/>
    <w:rPr>
      <w:rFonts w:asciiTheme="majorHAnsi" w:eastAsia="新細明體" w:hAnsiTheme="majorHAnsi" w:cstheme="majorBidi"/>
      <w:i/>
      <w:iCs/>
      <w:szCs w:val="24"/>
    </w:rPr>
  </w:style>
  <w:style w:type="character" w:styleId="a5">
    <w:name w:val="Intense Reference"/>
    <w:basedOn w:val="a0"/>
    <w:uiPriority w:val="32"/>
    <w:qFormat/>
    <w:rsid w:val="00957FCC"/>
    <w:rPr>
      <w:b/>
      <w:bCs/>
      <w:smallCaps/>
      <w:color w:val="CCB400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市鎮">
  <a:themeElements>
    <a:clrScheme name="市鎮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市鎮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市鎮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2020-12-10T09:22:00Z</dcterms:created>
  <dcterms:modified xsi:type="dcterms:W3CDTF">2020-12-10T11:18:00Z</dcterms:modified>
</cp:coreProperties>
</file>